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7ADA" w14:textId="6E55CBF5" w:rsidR="001210DF" w:rsidRPr="003C5EAF" w:rsidRDefault="001210DF" w:rsidP="003C5EAF">
      <w:pPr>
        <w:jc w:val="center"/>
        <w:rPr>
          <w:rFonts w:eastAsia="Times New Roman" w:cstheme="minorHAnsi"/>
          <w:b/>
          <w:bCs/>
          <w:color w:val="212121"/>
          <w:sz w:val="22"/>
          <w:szCs w:val="22"/>
          <w:bdr w:val="none" w:sz="0" w:space="0" w:color="auto" w:frame="1"/>
        </w:rPr>
      </w:pPr>
      <w:r w:rsidRPr="003C5EAF">
        <w:rPr>
          <w:rFonts w:eastAsia="Times New Roman" w:cstheme="minorHAnsi"/>
          <w:b/>
          <w:bCs/>
          <w:color w:val="212121"/>
          <w:sz w:val="22"/>
          <w:szCs w:val="22"/>
          <w:bdr w:val="none" w:sz="0" w:space="0" w:color="auto" w:frame="1"/>
        </w:rPr>
        <w:t>Northern California College of Clinical Pharmacy (NCCCP)</w:t>
      </w:r>
    </w:p>
    <w:p w14:paraId="6C7E7980" w14:textId="1A1E2590" w:rsidR="001210DF" w:rsidRDefault="001210DF" w:rsidP="003C5EAF">
      <w:pPr>
        <w:jc w:val="center"/>
        <w:rPr>
          <w:rFonts w:eastAsia="Times New Roman" w:cstheme="minorHAnsi"/>
          <w:b/>
          <w:bCs/>
          <w:color w:val="212121"/>
          <w:sz w:val="22"/>
          <w:szCs w:val="22"/>
          <w:bdr w:val="none" w:sz="0" w:space="0" w:color="auto" w:frame="1"/>
        </w:rPr>
      </w:pPr>
      <w:r w:rsidRPr="003C5EAF">
        <w:rPr>
          <w:rFonts w:eastAsia="Times New Roman" w:cstheme="minorHAnsi"/>
          <w:b/>
          <w:bCs/>
          <w:color w:val="212121"/>
          <w:sz w:val="22"/>
          <w:szCs w:val="22"/>
          <w:bdr w:val="none" w:sz="0" w:space="0" w:color="auto" w:frame="1"/>
        </w:rPr>
        <w:t>Grassroots Advocacy Committee</w:t>
      </w:r>
    </w:p>
    <w:p w14:paraId="1193B306" w14:textId="4ECE3F81" w:rsidR="00A523E1" w:rsidRPr="00A523E1" w:rsidRDefault="00A523E1" w:rsidP="003C5EAF">
      <w:pPr>
        <w:jc w:val="center"/>
        <w:rPr>
          <w:rFonts w:eastAsia="Times New Roman" w:cstheme="minorHAnsi"/>
          <w:b/>
          <w:bCs/>
          <w:color w:val="212121"/>
          <w:sz w:val="20"/>
          <w:szCs w:val="20"/>
          <w:bdr w:val="none" w:sz="0" w:space="0" w:color="auto" w:frame="1"/>
        </w:rPr>
      </w:pPr>
      <w:r>
        <w:rPr>
          <w:rFonts w:eastAsia="Times New Roman" w:cstheme="minorHAnsi"/>
          <w:b/>
          <w:bCs/>
          <w:color w:val="212121"/>
          <w:sz w:val="20"/>
          <w:szCs w:val="20"/>
          <w:bdr w:val="none" w:sz="0" w:space="0" w:color="auto" w:frame="1"/>
        </w:rPr>
        <w:t>(ncccp.net)</w:t>
      </w:r>
    </w:p>
    <w:p w14:paraId="7FFACDA4" w14:textId="321B6341" w:rsidR="001210DF" w:rsidRPr="00A523E1" w:rsidRDefault="001210DF" w:rsidP="001210DF">
      <w:pPr>
        <w:rPr>
          <w:rFonts w:eastAsia="Times New Roman" w:cstheme="minorHAnsi"/>
          <w:bCs/>
          <w:color w:val="212121"/>
          <w:sz w:val="10"/>
          <w:szCs w:val="10"/>
          <w:bdr w:val="none" w:sz="0" w:space="0" w:color="auto" w:frame="1"/>
        </w:rPr>
      </w:pPr>
    </w:p>
    <w:p w14:paraId="2E3E2A80" w14:textId="1D0C2D6F" w:rsidR="001210DF" w:rsidRPr="006C6505" w:rsidRDefault="006C7A5C" w:rsidP="006C7A5C">
      <w:pPr>
        <w:rPr>
          <w:rFonts w:eastAsia="Times New Roman" w:cstheme="minorHAnsi"/>
          <w:bCs/>
          <w:color w:val="212121"/>
          <w:sz w:val="20"/>
          <w:szCs w:val="20"/>
          <w:bdr w:val="none" w:sz="0" w:space="0" w:color="auto" w:frame="1"/>
        </w:rPr>
      </w:pPr>
      <w:r>
        <w:rPr>
          <w:rFonts w:eastAsia="Times New Roman" w:cstheme="minorHAnsi"/>
          <w:bCs/>
          <w:color w:val="212121"/>
          <w:sz w:val="20"/>
          <w:szCs w:val="20"/>
          <w:bdr w:val="none" w:sz="0" w:space="0" w:color="auto" w:frame="1"/>
        </w:rPr>
        <w:t xml:space="preserve">This is </w:t>
      </w:r>
      <w:r w:rsidR="001210DF" w:rsidRPr="006C6505">
        <w:rPr>
          <w:rFonts w:eastAsia="Times New Roman" w:cstheme="minorHAnsi"/>
          <w:bCs/>
          <w:color w:val="212121"/>
          <w:sz w:val="20"/>
          <w:szCs w:val="20"/>
          <w:bdr w:val="none" w:sz="0" w:space="0" w:color="auto" w:frame="1"/>
        </w:rPr>
        <w:t>a joint project of NCCCP</w:t>
      </w:r>
      <w:r w:rsidR="00BA6EF4">
        <w:rPr>
          <w:rFonts w:eastAsia="Times New Roman" w:cstheme="minorHAnsi"/>
          <w:bCs/>
          <w:color w:val="212121"/>
          <w:sz w:val="20"/>
          <w:szCs w:val="20"/>
          <w:bdr w:val="none" w:sz="0" w:space="0" w:color="auto" w:frame="1"/>
        </w:rPr>
        <w:t xml:space="preserve">, </w:t>
      </w:r>
      <w:r w:rsidR="001210DF" w:rsidRPr="006C6505">
        <w:rPr>
          <w:rFonts w:eastAsia="Times New Roman" w:cstheme="minorHAnsi"/>
          <w:bCs/>
          <w:color w:val="212121"/>
          <w:sz w:val="20"/>
          <w:szCs w:val="20"/>
          <w:bdr w:val="none" w:sz="0" w:space="0" w:color="auto" w:frame="1"/>
        </w:rPr>
        <w:t>CSHP</w:t>
      </w:r>
      <w:r w:rsidR="00BA6EF4">
        <w:rPr>
          <w:rFonts w:eastAsia="Times New Roman" w:cstheme="minorHAnsi"/>
          <w:bCs/>
          <w:color w:val="212121"/>
          <w:sz w:val="20"/>
          <w:szCs w:val="20"/>
          <w:bdr w:val="none" w:sz="0" w:space="0" w:color="auto" w:frame="1"/>
        </w:rPr>
        <w:t xml:space="preserve">, and </w:t>
      </w:r>
      <w:proofErr w:type="spellStart"/>
      <w:r w:rsidR="00BA6EF4">
        <w:rPr>
          <w:rFonts w:eastAsia="Times New Roman" w:cstheme="minorHAnsi"/>
          <w:bCs/>
          <w:color w:val="212121"/>
          <w:sz w:val="20"/>
          <w:szCs w:val="20"/>
          <w:bdr w:val="none" w:sz="0" w:space="0" w:color="auto" w:frame="1"/>
        </w:rPr>
        <w:t>CPhA</w:t>
      </w:r>
      <w:proofErr w:type="spellEnd"/>
      <w:r w:rsidR="001210DF" w:rsidRPr="006C6505">
        <w:rPr>
          <w:rFonts w:eastAsia="Times New Roman" w:cstheme="minorHAnsi"/>
          <w:bCs/>
          <w:color w:val="212121"/>
          <w:sz w:val="20"/>
          <w:szCs w:val="20"/>
          <w:bdr w:val="none" w:sz="0" w:space="0" w:color="auto" w:frame="1"/>
        </w:rPr>
        <w:t xml:space="preserve"> </w:t>
      </w:r>
      <w:r w:rsidR="00E73105">
        <w:rPr>
          <w:rFonts w:eastAsia="Times New Roman" w:cstheme="minorHAnsi"/>
          <w:bCs/>
          <w:color w:val="212121"/>
          <w:sz w:val="20"/>
          <w:szCs w:val="20"/>
          <w:bdr w:val="none" w:sz="0" w:space="0" w:color="auto" w:frame="1"/>
        </w:rPr>
        <w:t xml:space="preserve">state association </w:t>
      </w:r>
      <w:r w:rsidR="001210DF" w:rsidRPr="006C6505">
        <w:rPr>
          <w:rFonts w:eastAsia="Times New Roman" w:cstheme="minorHAnsi"/>
          <w:bCs/>
          <w:color w:val="212121"/>
          <w:sz w:val="20"/>
          <w:szCs w:val="20"/>
          <w:bdr w:val="none" w:sz="0" w:space="0" w:color="auto" w:frame="1"/>
        </w:rPr>
        <w:t>leadership.</w:t>
      </w:r>
      <w:r>
        <w:rPr>
          <w:rFonts w:eastAsia="Times New Roman" w:cstheme="minorHAnsi"/>
          <w:bCs/>
          <w:color w:val="212121"/>
          <w:sz w:val="20"/>
          <w:szCs w:val="20"/>
          <w:bdr w:val="none" w:sz="0" w:space="0" w:color="auto" w:frame="1"/>
        </w:rPr>
        <w:t xml:space="preserve"> </w:t>
      </w:r>
      <w:r w:rsidR="001210DF" w:rsidRPr="006C6505">
        <w:rPr>
          <w:rFonts w:eastAsia="Times New Roman" w:cstheme="minorHAnsi"/>
          <w:bCs/>
          <w:color w:val="212121"/>
          <w:sz w:val="20"/>
          <w:szCs w:val="20"/>
          <w:bdr w:val="none" w:sz="0" w:space="0" w:color="auto" w:frame="1"/>
        </w:rPr>
        <w:t>Our current focus is advocating adequate compensation for pharmacists p</w:t>
      </w:r>
      <w:r w:rsidR="00BA6EF4">
        <w:rPr>
          <w:rFonts w:eastAsia="Times New Roman" w:cstheme="minorHAnsi"/>
          <w:bCs/>
          <w:color w:val="212121"/>
          <w:sz w:val="20"/>
          <w:szCs w:val="20"/>
          <w:bdr w:val="none" w:sz="0" w:space="0" w:color="auto" w:frame="1"/>
        </w:rPr>
        <w:t>roviding services payable under AB 1114</w:t>
      </w:r>
      <w:r w:rsidR="001210DF" w:rsidRPr="006C6505">
        <w:rPr>
          <w:rFonts w:eastAsia="Times New Roman" w:cstheme="minorHAnsi"/>
          <w:bCs/>
          <w:color w:val="212121"/>
          <w:sz w:val="20"/>
          <w:szCs w:val="20"/>
          <w:bdr w:val="none" w:sz="0" w:space="0" w:color="auto" w:frame="1"/>
        </w:rPr>
        <w:t>.</w:t>
      </w:r>
    </w:p>
    <w:p w14:paraId="69F6966C" w14:textId="77777777" w:rsidR="001210DF" w:rsidRPr="00A523E1" w:rsidRDefault="001210DF" w:rsidP="001210DF">
      <w:pPr>
        <w:rPr>
          <w:rFonts w:eastAsia="Times New Roman" w:cstheme="minorHAnsi"/>
          <w:bCs/>
          <w:color w:val="212121"/>
          <w:sz w:val="16"/>
          <w:szCs w:val="16"/>
          <w:bdr w:val="none" w:sz="0" w:space="0" w:color="auto" w:frame="1"/>
        </w:rPr>
      </w:pPr>
    </w:p>
    <w:p w14:paraId="19EEEA50" w14:textId="2DE52F39" w:rsidR="00C4140A" w:rsidRDefault="001210DF" w:rsidP="006A14E6">
      <w:pPr>
        <w:rPr>
          <w:rFonts w:eastAsia="Times New Roman" w:cstheme="minorHAnsi"/>
          <w:color w:val="000000"/>
          <w:sz w:val="20"/>
          <w:szCs w:val="20"/>
          <w:bdr w:val="none" w:sz="0" w:space="0" w:color="auto" w:frame="1"/>
        </w:rPr>
      </w:pPr>
      <w:r w:rsidRPr="00BA6EF4">
        <w:rPr>
          <w:rFonts w:eastAsia="Times New Roman" w:cstheme="minorHAnsi"/>
          <w:bCs/>
          <w:color w:val="212121"/>
          <w:sz w:val="20"/>
          <w:szCs w:val="20"/>
          <w:bdr w:val="none" w:sz="0" w:space="0" w:color="auto" w:frame="1"/>
        </w:rPr>
        <w:t>California AB 1114 authoriz</w:t>
      </w:r>
      <w:r w:rsidR="00BA6EF4" w:rsidRPr="00BA6EF4">
        <w:rPr>
          <w:rFonts w:eastAsia="Times New Roman" w:cstheme="minorHAnsi"/>
          <w:bCs/>
          <w:color w:val="212121"/>
          <w:sz w:val="20"/>
          <w:szCs w:val="20"/>
          <w:bdr w:val="none" w:sz="0" w:space="0" w:color="auto" w:frame="1"/>
        </w:rPr>
        <w:t>es</w:t>
      </w:r>
      <w:r w:rsidRPr="00BA6EF4">
        <w:rPr>
          <w:rFonts w:eastAsia="Times New Roman" w:cstheme="minorHAnsi"/>
          <w:bCs/>
          <w:color w:val="212121"/>
          <w:sz w:val="20"/>
          <w:szCs w:val="20"/>
          <w:bdr w:val="none" w:sz="0" w:space="0" w:color="auto" w:frame="1"/>
        </w:rPr>
        <w:t xml:space="preserve"> </w:t>
      </w:r>
      <w:proofErr w:type="spellStart"/>
      <w:r w:rsidRPr="00BA6EF4">
        <w:rPr>
          <w:rFonts w:eastAsia="Times New Roman" w:cstheme="minorHAnsi"/>
          <w:bCs/>
          <w:color w:val="212121"/>
          <w:sz w:val="20"/>
          <w:szCs w:val="20"/>
          <w:bdr w:val="none" w:sz="0" w:space="0" w:color="auto" w:frame="1"/>
        </w:rPr>
        <w:t>MediCal</w:t>
      </w:r>
      <w:proofErr w:type="spellEnd"/>
      <w:r w:rsidRPr="00BA6EF4">
        <w:rPr>
          <w:rFonts w:eastAsia="Times New Roman" w:cstheme="minorHAnsi"/>
          <w:bCs/>
          <w:color w:val="212121"/>
          <w:sz w:val="20"/>
          <w:szCs w:val="20"/>
          <w:bdr w:val="none" w:sz="0" w:space="0" w:color="auto" w:frame="1"/>
        </w:rPr>
        <w:t xml:space="preserve"> payments to pharmacists for</w:t>
      </w:r>
      <w:r w:rsidR="00BA6EF4">
        <w:rPr>
          <w:rFonts w:eastAsia="Times New Roman" w:cstheme="minorHAnsi"/>
          <w:bCs/>
          <w:color w:val="212121"/>
          <w:sz w:val="20"/>
          <w:szCs w:val="20"/>
          <w:bdr w:val="none" w:sz="0" w:space="0" w:color="auto" w:frame="1"/>
        </w:rPr>
        <w:t xml:space="preserve"> providing</w:t>
      </w:r>
      <w:r w:rsidRPr="00BA6EF4">
        <w:rPr>
          <w:rFonts w:eastAsia="Times New Roman" w:cstheme="minorHAnsi"/>
          <w:bCs/>
          <w:color w:val="212121"/>
          <w:sz w:val="20"/>
          <w:szCs w:val="20"/>
          <w:bdr w:val="none" w:sz="0" w:space="0" w:color="auto" w:frame="1"/>
        </w:rPr>
        <w:t xml:space="preserve"> </w:t>
      </w:r>
      <w:r w:rsidR="00607E34">
        <w:rPr>
          <w:rFonts w:ascii="Calibri" w:eastAsia="Times New Roman" w:hAnsi="Calibri" w:cs="Calibri"/>
          <w:color w:val="212121"/>
          <w:sz w:val="20"/>
          <w:szCs w:val="20"/>
          <w:shd w:val="clear" w:color="auto" w:fill="FFFFFF"/>
        </w:rPr>
        <w:t xml:space="preserve">naloxone, </w:t>
      </w:r>
      <w:r w:rsidR="00BA6EF4" w:rsidRPr="00BA6EF4">
        <w:rPr>
          <w:rFonts w:ascii="Calibri" w:eastAsia="Times New Roman" w:hAnsi="Calibri" w:cs="Calibri"/>
          <w:color w:val="212121"/>
          <w:sz w:val="20"/>
          <w:szCs w:val="20"/>
          <w:shd w:val="clear" w:color="auto" w:fill="FFFFFF"/>
        </w:rPr>
        <w:t xml:space="preserve">contraception, smoking cessation, travel </w:t>
      </w:r>
      <w:r w:rsidR="00607E34">
        <w:rPr>
          <w:rFonts w:ascii="Calibri" w:eastAsia="Times New Roman" w:hAnsi="Calibri" w:cs="Calibri"/>
          <w:color w:val="212121"/>
          <w:sz w:val="20"/>
          <w:szCs w:val="20"/>
          <w:shd w:val="clear" w:color="auto" w:fill="FFFFFF"/>
        </w:rPr>
        <w:t xml:space="preserve">meds, and immunizations </w:t>
      </w:r>
      <w:r w:rsidR="000E10E9" w:rsidRPr="00BA6EF4">
        <w:rPr>
          <w:rFonts w:eastAsia="Times New Roman" w:cstheme="minorHAnsi"/>
          <w:bCs/>
          <w:color w:val="212121"/>
          <w:sz w:val="20"/>
          <w:szCs w:val="20"/>
          <w:bdr w:val="none" w:sz="0" w:space="0" w:color="auto" w:frame="1"/>
        </w:rPr>
        <w:t>services</w:t>
      </w:r>
      <w:r w:rsidRPr="00BA6EF4">
        <w:rPr>
          <w:rFonts w:eastAsia="Times New Roman" w:cstheme="minorHAnsi"/>
          <w:bCs/>
          <w:color w:val="212121"/>
          <w:sz w:val="20"/>
          <w:szCs w:val="20"/>
          <w:bdr w:val="none" w:sz="0" w:space="0" w:color="auto" w:frame="1"/>
        </w:rPr>
        <w:t xml:space="preserve"> authorized by SB 493.</w:t>
      </w:r>
      <w:r w:rsidR="006A14E6" w:rsidRPr="00BA6EF4">
        <w:rPr>
          <w:rFonts w:eastAsia="Times New Roman" w:cstheme="minorHAnsi"/>
          <w:bCs/>
          <w:color w:val="212121"/>
          <w:sz w:val="20"/>
          <w:szCs w:val="20"/>
          <w:bdr w:val="none" w:sz="0" w:space="0" w:color="auto" w:frame="1"/>
        </w:rPr>
        <w:t xml:space="preserve"> </w:t>
      </w:r>
      <w:r w:rsidR="000E10E9" w:rsidRPr="00BA6EF4">
        <w:rPr>
          <w:rFonts w:eastAsia="Times New Roman" w:cstheme="minorHAnsi"/>
          <w:bCs/>
          <w:color w:val="212121"/>
          <w:sz w:val="20"/>
          <w:szCs w:val="20"/>
          <w:bdr w:val="none" w:sz="0" w:space="0" w:color="auto" w:frame="1"/>
        </w:rPr>
        <w:t>B</w:t>
      </w:r>
      <w:r w:rsidR="006A14E6" w:rsidRPr="00BA6EF4">
        <w:rPr>
          <w:rFonts w:eastAsia="Times New Roman" w:cstheme="minorHAnsi"/>
          <w:bCs/>
          <w:color w:val="212121"/>
          <w:sz w:val="20"/>
          <w:szCs w:val="20"/>
          <w:bdr w:val="none" w:sz="0" w:space="0" w:color="auto" w:frame="1"/>
        </w:rPr>
        <w:t xml:space="preserve">illing codes </w:t>
      </w:r>
      <w:r w:rsidR="000E10E9" w:rsidRPr="00BA6EF4">
        <w:rPr>
          <w:rFonts w:eastAsia="Times New Roman" w:cstheme="minorHAnsi"/>
          <w:bCs/>
          <w:color w:val="212121"/>
          <w:sz w:val="20"/>
          <w:szCs w:val="20"/>
          <w:bdr w:val="none" w:sz="0" w:space="0" w:color="auto" w:frame="1"/>
        </w:rPr>
        <w:t>needed to implement AB 1114</w:t>
      </w:r>
      <w:r w:rsidR="006A14E6" w:rsidRPr="00BA6EF4">
        <w:rPr>
          <w:rFonts w:eastAsia="Times New Roman" w:cstheme="minorHAnsi"/>
          <w:bCs/>
          <w:color w:val="212121"/>
          <w:sz w:val="20"/>
          <w:szCs w:val="20"/>
          <w:bdr w:val="none" w:sz="0" w:space="0" w:color="auto" w:frame="1"/>
        </w:rPr>
        <w:t xml:space="preserve"> </w:t>
      </w:r>
      <w:r w:rsidR="00BA6EF4">
        <w:rPr>
          <w:rFonts w:eastAsia="Times New Roman" w:cstheme="minorHAnsi"/>
          <w:bCs/>
          <w:color w:val="212121"/>
          <w:sz w:val="20"/>
          <w:szCs w:val="20"/>
          <w:bdr w:val="none" w:sz="0" w:space="0" w:color="auto" w:frame="1"/>
        </w:rPr>
        <w:t xml:space="preserve">were </w:t>
      </w:r>
      <w:r w:rsidR="006A14E6" w:rsidRPr="00BA6EF4">
        <w:rPr>
          <w:rFonts w:eastAsia="Times New Roman" w:cstheme="minorHAnsi"/>
          <w:bCs/>
          <w:color w:val="212121"/>
          <w:sz w:val="20"/>
          <w:szCs w:val="20"/>
          <w:bdr w:val="none" w:sz="0" w:space="0" w:color="auto" w:frame="1"/>
        </w:rPr>
        <w:t>assigned</w:t>
      </w:r>
      <w:r w:rsidR="00BA6EF4">
        <w:rPr>
          <w:rFonts w:eastAsia="Times New Roman" w:cstheme="minorHAnsi"/>
          <w:bCs/>
          <w:color w:val="212121"/>
          <w:sz w:val="20"/>
          <w:szCs w:val="20"/>
          <w:bdr w:val="none" w:sz="0" w:space="0" w:color="auto" w:frame="1"/>
        </w:rPr>
        <w:t xml:space="preserve"> </w:t>
      </w:r>
      <w:r w:rsidR="00607E34">
        <w:rPr>
          <w:rFonts w:eastAsia="Times New Roman" w:cstheme="minorHAnsi"/>
          <w:bCs/>
          <w:color w:val="212121"/>
          <w:sz w:val="20"/>
          <w:szCs w:val="20"/>
          <w:bdr w:val="none" w:sz="0" w:space="0" w:color="auto" w:frame="1"/>
        </w:rPr>
        <w:t xml:space="preserve">by the Department of Health Care Services (DHCS) </w:t>
      </w:r>
      <w:r w:rsidR="00BA6EF4">
        <w:rPr>
          <w:rFonts w:eastAsia="Times New Roman" w:cstheme="minorHAnsi"/>
          <w:bCs/>
          <w:color w:val="212121"/>
          <w:sz w:val="20"/>
          <w:szCs w:val="20"/>
          <w:bdr w:val="none" w:sz="0" w:space="0" w:color="auto" w:frame="1"/>
        </w:rPr>
        <w:t>as</w:t>
      </w:r>
      <w:r w:rsidR="006A14E6" w:rsidRPr="00BA6EF4">
        <w:rPr>
          <w:rFonts w:eastAsia="Times New Roman" w:cstheme="minorHAnsi"/>
          <w:color w:val="000000"/>
          <w:sz w:val="20"/>
          <w:szCs w:val="20"/>
          <w:bdr w:val="none" w:sz="0" w:space="0" w:color="auto" w:frame="1"/>
        </w:rPr>
        <w:t xml:space="preserve"> CPT codes 99201 for new patients 99212 for returning patients</w:t>
      </w:r>
      <w:r w:rsidR="00607E34">
        <w:rPr>
          <w:rFonts w:eastAsia="Times New Roman" w:cstheme="minorHAnsi"/>
          <w:color w:val="000000"/>
          <w:sz w:val="20"/>
          <w:szCs w:val="20"/>
          <w:bdr w:val="none" w:sz="0" w:space="0" w:color="auto" w:frame="1"/>
        </w:rPr>
        <w:t>, and 90471 for immunizations</w:t>
      </w:r>
      <w:r w:rsidR="006A14E6" w:rsidRPr="00BA6EF4">
        <w:rPr>
          <w:rFonts w:eastAsia="Times New Roman" w:cstheme="minorHAnsi"/>
          <w:color w:val="000000"/>
          <w:sz w:val="20"/>
          <w:szCs w:val="20"/>
          <w:bdr w:val="none" w:sz="0" w:space="0" w:color="auto" w:frame="1"/>
        </w:rPr>
        <w:t xml:space="preserve"> to be used for pharmacist services.</w:t>
      </w:r>
      <w:r w:rsidR="00391BF2">
        <w:rPr>
          <w:rFonts w:eastAsia="Times New Roman" w:cstheme="minorHAnsi"/>
          <w:color w:val="000000"/>
          <w:sz w:val="20"/>
          <w:szCs w:val="20"/>
          <w:bdr w:val="none" w:sz="0" w:space="0" w:color="auto" w:frame="1"/>
        </w:rPr>
        <w:t xml:space="preserve"> </w:t>
      </w:r>
      <w:r w:rsidR="00391BF2" w:rsidRPr="006C6505">
        <w:rPr>
          <w:rFonts w:eastAsia="Times New Roman" w:cstheme="minorHAnsi"/>
          <w:color w:val="000000"/>
          <w:sz w:val="20"/>
          <w:szCs w:val="20"/>
          <w:bdr w:val="none" w:sz="0" w:space="0" w:color="auto" w:frame="1"/>
        </w:rPr>
        <w:t xml:space="preserve">See </w:t>
      </w:r>
      <w:r w:rsidR="008468F2">
        <w:rPr>
          <w:rFonts w:eastAsia="Times New Roman" w:cstheme="minorHAnsi"/>
          <w:color w:val="000000"/>
          <w:sz w:val="20"/>
          <w:szCs w:val="20"/>
          <w:bdr w:val="none" w:sz="0" w:space="0" w:color="auto" w:frame="1"/>
        </w:rPr>
        <w:t>T</w:t>
      </w:r>
      <w:r w:rsidR="00391BF2" w:rsidRPr="006C6505">
        <w:rPr>
          <w:rFonts w:eastAsia="Times New Roman" w:cstheme="minorHAnsi"/>
          <w:color w:val="000000"/>
          <w:sz w:val="20"/>
          <w:szCs w:val="20"/>
          <w:bdr w:val="none" w:sz="0" w:space="0" w:color="auto" w:frame="1"/>
        </w:rPr>
        <w:t>able</w:t>
      </w:r>
      <w:r w:rsidR="008468F2">
        <w:rPr>
          <w:rFonts w:eastAsia="Times New Roman" w:cstheme="minorHAnsi"/>
          <w:color w:val="000000"/>
          <w:sz w:val="20"/>
          <w:szCs w:val="20"/>
          <w:bdr w:val="none" w:sz="0" w:space="0" w:color="auto" w:frame="1"/>
        </w:rPr>
        <w:t xml:space="preserve"> 1</w:t>
      </w:r>
      <w:r w:rsidR="00391BF2" w:rsidRPr="006C6505">
        <w:rPr>
          <w:rFonts w:eastAsia="Times New Roman" w:cstheme="minorHAnsi"/>
          <w:color w:val="000000"/>
          <w:sz w:val="20"/>
          <w:szCs w:val="20"/>
          <w:bdr w:val="none" w:sz="0" w:space="0" w:color="auto" w:frame="1"/>
        </w:rPr>
        <w:t>, below.</w:t>
      </w:r>
    </w:p>
    <w:p w14:paraId="7742B3BE" w14:textId="77777777" w:rsidR="00C4140A" w:rsidRPr="00A523E1" w:rsidRDefault="00C4140A" w:rsidP="006A14E6">
      <w:pPr>
        <w:rPr>
          <w:rFonts w:eastAsia="Times New Roman" w:cstheme="minorHAnsi"/>
          <w:color w:val="000000"/>
          <w:sz w:val="16"/>
          <w:szCs w:val="16"/>
          <w:bdr w:val="none" w:sz="0" w:space="0" w:color="auto" w:frame="1"/>
        </w:rPr>
      </w:pPr>
    </w:p>
    <w:p w14:paraId="1F9FFC9A" w14:textId="4E76F9F6" w:rsidR="006A14E6" w:rsidRPr="006C6505" w:rsidRDefault="006A14E6" w:rsidP="006A14E6">
      <w:pPr>
        <w:rPr>
          <w:rFonts w:eastAsia="Times New Roman" w:cstheme="minorHAnsi"/>
          <w:color w:val="000000"/>
          <w:sz w:val="20"/>
          <w:szCs w:val="20"/>
          <w:bdr w:val="none" w:sz="0" w:space="0" w:color="auto" w:frame="1"/>
        </w:rPr>
      </w:pPr>
      <w:r w:rsidRPr="006C6505">
        <w:rPr>
          <w:rFonts w:eastAsia="Times New Roman" w:cstheme="minorHAnsi"/>
          <w:color w:val="000000"/>
          <w:sz w:val="20"/>
          <w:szCs w:val="20"/>
          <w:bdr w:val="none" w:sz="0" w:space="0" w:color="auto" w:frame="1"/>
        </w:rPr>
        <w:t>The</w:t>
      </w:r>
      <w:r w:rsidR="00391BF2">
        <w:rPr>
          <w:rFonts w:eastAsia="Times New Roman" w:cstheme="minorHAnsi"/>
          <w:color w:val="000000"/>
          <w:sz w:val="20"/>
          <w:szCs w:val="20"/>
          <w:bdr w:val="none" w:sz="0" w:space="0" w:color="auto" w:frame="1"/>
        </w:rPr>
        <w:t xml:space="preserve"> assigned</w:t>
      </w:r>
      <w:r w:rsidRPr="006C6505">
        <w:rPr>
          <w:rFonts w:eastAsia="Times New Roman" w:cstheme="minorHAnsi"/>
          <w:color w:val="000000"/>
          <w:sz w:val="20"/>
          <w:szCs w:val="20"/>
          <w:bdr w:val="none" w:sz="0" w:space="0" w:color="auto" w:frame="1"/>
        </w:rPr>
        <w:t xml:space="preserve"> codes</w:t>
      </w:r>
      <w:r w:rsidR="00D24DAA">
        <w:rPr>
          <w:rFonts w:eastAsia="Times New Roman" w:cstheme="minorHAnsi"/>
          <w:color w:val="000000"/>
          <w:sz w:val="20"/>
          <w:szCs w:val="20"/>
          <w:bdr w:val="none" w:sz="0" w:space="0" w:color="auto" w:frame="1"/>
        </w:rPr>
        <w:t xml:space="preserve"> </w:t>
      </w:r>
      <w:r w:rsidRPr="006C6505">
        <w:rPr>
          <w:rFonts w:eastAsia="Times New Roman" w:cstheme="minorHAnsi"/>
          <w:color w:val="000000"/>
          <w:sz w:val="20"/>
          <w:szCs w:val="20"/>
          <w:bdr w:val="none" w:sz="0" w:space="0" w:color="auto" w:frame="1"/>
        </w:rPr>
        <w:t xml:space="preserve">are not adequate </w:t>
      </w:r>
      <w:r w:rsidR="004615C3">
        <w:rPr>
          <w:rFonts w:eastAsia="Times New Roman" w:cstheme="minorHAnsi"/>
          <w:color w:val="000000"/>
          <w:sz w:val="20"/>
          <w:szCs w:val="20"/>
          <w:bdr w:val="none" w:sz="0" w:space="0" w:color="auto" w:frame="1"/>
        </w:rPr>
        <w:t>to</w:t>
      </w:r>
      <w:r w:rsidR="00391BF2">
        <w:rPr>
          <w:rFonts w:eastAsia="Times New Roman" w:cstheme="minorHAnsi"/>
          <w:color w:val="000000"/>
          <w:sz w:val="20"/>
          <w:szCs w:val="20"/>
          <w:bdr w:val="none" w:sz="0" w:space="0" w:color="auto" w:frame="1"/>
        </w:rPr>
        <w:t xml:space="preserve"> address</w:t>
      </w:r>
      <w:r w:rsidR="004615C3">
        <w:rPr>
          <w:rFonts w:eastAsia="Times New Roman" w:cstheme="minorHAnsi"/>
          <w:color w:val="000000"/>
          <w:sz w:val="20"/>
          <w:szCs w:val="20"/>
          <w:bdr w:val="none" w:sz="0" w:space="0" w:color="auto" w:frame="1"/>
        </w:rPr>
        <w:t xml:space="preserve"> the specific requirements pharmacists must meet when providing </w:t>
      </w:r>
      <w:r w:rsidR="00D24DAA">
        <w:rPr>
          <w:rFonts w:ascii="Calibri" w:eastAsia="Times New Roman" w:hAnsi="Calibri" w:cs="Calibri"/>
          <w:color w:val="212121"/>
          <w:sz w:val="20"/>
          <w:szCs w:val="20"/>
          <w:shd w:val="clear" w:color="auto" w:fill="FFFFFF"/>
        </w:rPr>
        <w:t>naloxone</w:t>
      </w:r>
      <w:r w:rsidR="004615C3" w:rsidRPr="00BA6EF4">
        <w:rPr>
          <w:rFonts w:ascii="Calibri" w:eastAsia="Times New Roman" w:hAnsi="Calibri" w:cs="Calibri"/>
          <w:color w:val="212121"/>
          <w:sz w:val="20"/>
          <w:szCs w:val="20"/>
          <w:shd w:val="clear" w:color="auto" w:fill="FFFFFF"/>
        </w:rPr>
        <w:t xml:space="preserve">, contraception, smoking cessation, and travel </w:t>
      </w:r>
      <w:r w:rsidR="00D24DAA">
        <w:rPr>
          <w:rFonts w:ascii="Calibri" w:eastAsia="Times New Roman" w:hAnsi="Calibri" w:cs="Calibri"/>
          <w:color w:val="212121"/>
          <w:sz w:val="20"/>
          <w:szCs w:val="20"/>
          <w:shd w:val="clear" w:color="auto" w:fill="FFFFFF"/>
        </w:rPr>
        <w:t xml:space="preserve">meds, and immunizations </w:t>
      </w:r>
      <w:r w:rsidR="004615C3" w:rsidRPr="00BA6EF4">
        <w:rPr>
          <w:rFonts w:ascii="Calibri" w:eastAsia="Times New Roman" w:hAnsi="Calibri" w:cs="Calibri"/>
          <w:color w:val="212121"/>
          <w:sz w:val="20"/>
          <w:szCs w:val="20"/>
          <w:shd w:val="clear" w:color="auto" w:fill="FFFFFF"/>
        </w:rPr>
        <w:t>meds</w:t>
      </w:r>
      <w:r w:rsidR="00D24DAA">
        <w:rPr>
          <w:rFonts w:ascii="Times New Roman" w:eastAsia="Times New Roman" w:hAnsi="Times New Roman" w:cs="Times New Roman"/>
          <w:sz w:val="20"/>
          <w:szCs w:val="20"/>
        </w:rPr>
        <w:t xml:space="preserve">, </w:t>
      </w:r>
      <w:r w:rsidR="004615C3" w:rsidRPr="00BA6EF4">
        <w:rPr>
          <w:rFonts w:eastAsia="Times New Roman" w:cstheme="minorHAnsi"/>
          <w:bCs/>
          <w:color w:val="212121"/>
          <w:sz w:val="20"/>
          <w:szCs w:val="20"/>
          <w:bdr w:val="none" w:sz="0" w:space="0" w:color="auto" w:frame="1"/>
        </w:rPr>
        <w:t>services</w:t>
      </w:r>
      <w:r w:rsidR="000E10E9">
        <w:rPr>
          <w:rFonts w:eastAsia="Times New Roman" w:cstheme="minorHAnsi"/>
          <w:color w:val="000000"/>
          <w:sz w:val="20"/>
          <w:szCs w:val="20"/>
          <w:bdr w:val="none" w:sz="0" w:space="0" w:color="auto" w:frame="1"/>
        </w:rPr>
        <w:t xml:space="preserve">. </w:t>
      </w:r>
      <w:r w:rsidR="004615C3">
        <w:rPr>
          <w:rFonts w:eastAsia="Times New Roman" w:cstheme="minorHAnsi"/>
          <w:color w:val="000000"/>
          <w:sz w:val="20"/>
          <w:szCs w:val="20"/>
          <w:bdr w:val="none" w:sz="0" w:space="0" w:color="auto" w:frame="1"/>
        </w:rPr>
        <w:t>Th</w:t>
      </w:r>
      <w:r w:rsidR="00391BF2">
        <w:rPr>
          <w:rFonts w:eastAsia="Times New Roman" w:cstheme="minorHAnsi"/>
          <w:color w:val="000000"/>
          <w:sz w:val="20"/>
          <w:szCs w:val="20"/>
          <w:bdr w:val="none" w:sz="0" w:space="0" w:color="auto" w:frame="1"/>
        </w:rPr>
        <w:t xml:space="preserve">e assigned codes also do not reflect the CPT codes that are used by physicians to provide the same services. </w:t>
      </w:r>
      <w:r w:rsidR="000E10E9">
        <w:rPr>
          <w:rFonts w:eastAsia="Times New Roman" w:cstheme="minorHAnsi"/>
          <w:color w:val="000000"/>
          <w:sz w:val="20"/>
          <w:szCs w:val="20"/>
          <w:bdr w:val="none" w:sz="0" w:space="0" w:color="auto" w:frame="1"/>
        </w:rPr>
        <w:t>I</w:t>
      </w:r>
      <w:r w:rsidR="00090E62" w:rsidRPr="006C6505">
        <w:rPr>
          <w:rFonts w:eastAsia="Times New Roman" w:cstheme="minorHAnsi"/>
          <w:color w:val="000000"/>
          <w:sz w:val="20"/>
          <w:szCs w:val="20"/>
          <w:bdr w:val="none" w:sz="0" w:space="0" w:color="auto" w:frame="1"/>
        </w:rPr>
        <w:t>f pharmacist services are not coded correctly, pharmacists will not be compensated for the time required to deliver services</w:t>
      </w:r>
      <w:r w:rsidR="00AC00D3">
        <w:rPr>
          <w:rFonts w:eastAsia="Times New Roman" w:cstheme="minorHAnsi"/>
          <w:color w:val="000000"/>
          <w:sz w:val="20"/>
          <w:szCs w:val="20"/>
          <w:bdr w:val="none" w:sz="0" w:space="0" w:color="auto" w:frame="1"/>
        </w:rPr>
        <w:t xml:space="preserve"> to </w:t>
      </w:r>
      <w:r w:rsidR="000E10E9">
        <w:rPr>
          <w:rFonts w:eastAsia="Times New Roman" w:cstheme="minorHAnsi"/>
          <w:color w:val="000000"/>
          <w:sz w:val="20"/>
          <w:szCs w:val="20"/>
          <w:bdr w:val="none" w:sz="0" w:space="0" w:color="auto" w:frame="1"/>
        </w:rPr>
        <w:t xml:space="preserve">their </w:t>
      </w:r>
      <w:r w:rsidR="00AC00D3">
        <w:rPr>
          <w:rFonts w:eastAsia="Times New Roman" w:cstheme="minorHAnsi"/>
          <w:color w:val="000000"/>
          <w:sz w:val="20"/>
          <w:szCs w:val="20"/>
          <w:bdr w:val="none" w:sz="0" w:space="0" w:color="auto" w:frame="1"/>
        </w:rPr>
        <w:t>patients</w:t>
      </w:r>
      <w:r w:rsidR="000E10E9">
        <w:rPr>
          <w:rFonts w:eastAsia="Times New Roman" w:cstheme="minorHAnsi"/>
          <w:color w:val="000000"/>
          <w:sz w:val="20"/>
          <w:szCs w:val="20"/>
          <w:bdr w:val="none" w:sz="0" w:space="0" w:color="auto" w:frame="1"/>
        </w:rPr>
        <w:t xml:space="preserve"> and, in effect, </w:t>
      </w:r>
      <w:r w:rsidR="00391BF2">
        <w:rPr>
          <w:rFonts w:eastAsia="Times New Roman" w:cstheme="minorHAnsi"/>
          <w:color w:val="000000"/>
          <w:sz w:val="20"/>
          <w:szCs w:val="20"/>
          <w:bdr w:val="none" w:sz="0" w:space="0" w:color="auto" w:frame="1"/>
        </w:rPr>
        <w:t xml:space="preserve">these </w:t>
      </w:r>
      <w:r w:rsidR="000E10E9">
        <w:rPr>
          <w:rFonts w:eastAsia="Times New Roman" w:cstheme="minorHAnsi"/>
          <w:color w:val="000000"/>
          <w:sz w:val="20"/>
          <w:szCs w:val="20"/>
          <w:bdr w:val="none" w:sz="0" w:space="0" w:color="auto" w:frame="1"/>
        </w:rPr>
        <w:t>SB 493</w:t>
      </w:r>
      <w:r w:rsidR="00391BF2">
        <w:rPr>
          <w:rFonts w:eastAsia="Times New Roman" w:cstheme="minorHAnsi"/>
          <w:color w:val="000000"/>
          <w:sz w:val="20"/>
          <w:szCs w:val="20"/>
          <w:bdr w:val="none" w:sz="0" w:space="0" w:color="auto" w:frame="1"/>
        </w:rPr>
        <w:t xml:space="preserve"> services</w:t>
      </w:r>
      <w:r w:rsidR="000E10E9">
        <w:rPr>
          <w:rFonts w:eastAsia="Times New Roman" w:cstheme="minorHAnsi"/>
          <w:color w:val="000000"/>
          <w:sz w:val="20"/>
          <w:szCs w:val="20"/>
          <w:bdr w:val="none" w:sz="0" w:space="0" w:color="auto" w:frame="1"/>
        </w:rPr>
        <w:t xml:space="preserve"> still cannot be implemented</w:t>
      </w:r>
      <w:r w:rsidR="00090E62" w:rsidRPr="006C6505">
        <w:rPr>
          <w:rFonts w:eastAsia="Times New Roman" w:cstheme="minorHAnsi"/>
          <w:color w:val="000000"/>
          <w:sz w:val="20"/>
          <w:szCs w:val="20"/>
          <w:bdr w:val="none" w:sz="0" w:space="0" w:color="auto" w:frame="1"/>
        </w:rPr>
        <w:t>.</w:t>
      </w:r>
      <w:r w:rsidR="008468F2">
        <w:rPr>
          <w:rFonts w:eastAsia="Times New Roman" w:cstheme="minorHAnsi"/>
          <w:color w:val="000000"/>
          <w:sz w:val="20"/>
          <w:szCs w:val="20"/>
          <w:bdr w:val="none" w:sz="0" w:space="0" w:color="auto" w:frame="1"/>
        </w:rPr>
        <w:t xml:space="preserve"> See Table 2, on the back of this handout.</w:t>
      </w:r>
    </w:p>
    <w:p w14:paraId="56B305F0" w14:textId="2CF7B882" w:rsidR="00090E62" w:rsidRPr="00A523E1" w:rsidRDefault="00090E62" w:rsidP="006A14E6">
      <w:pPr>
        <w:rPr>
          <w:rFonts w:eastAsia="Times New Roman" w:cstheme="minorHAnsi"/>
          <w:color w:val="000000"/>
          <w:sz w:val="16"/>
          <w:szCs w:val="16"/>
          <w:bdr w:val="none" w:sz="0" w:space="0" w:color="auto" w:frame="1"/>
        </w:rPr>
      </w:pPr>
    </w:p>
    <w:p w14:paraId="366E116B" w14:textId="42E04412" w:rsidR="00090E62" w:rsidRPr="006C6505" w:rsidRDefault="00090E62" w:rsidP="006A14E6">
      <w:pPr>
        <w:rPr>
          <w:rFonts w:eastAsia="Times New Roman" w:cstheme="minorHAnsi"/>
          <w:color w:val="000000"/>
          <w:sz w:val="20"/>
          <w:szCs w:val="20"/>
          <w:bdr w:val="none" w:sz="0" w:space="0" w:color="auto" w:frame="1"/>
        </w:rPr>
      </w:pPr>
      <w:r w:rsidRPr="006C6505">
        <w:rPr>
          <w:rFonts w:eastAsia="Times New Roman" w:cstheme="minorHAnsi"/>
          <w:b/>
          <w:color w:val="000000"/>
          <w:sz w:val="20"/>
          <w:szCs w:val="20"/>
          <w:bdr w:val="none" w:sz="0" w:space="0" w:color="auto" w:frame="1"/>
        </w:rPr>
        <w:t>What can pharmacists do to advocate adequate coding for pharmacist cognitive services?</w:t>
      </w:r>
      <w:r w:rsidRPr="006C6505">
        <w:rPr>
          <w:rFonts w:eastAsia="Times New Roman" w:cstheme="minorHAnsi"/>
          <w:color w:val="000000"/>
          <w:sz w:val="20"/>
          <w:szCs w:val="20"/>
          <w:bdr w:val="none" w:sz="0" w:space="0" w:color="auto" w:frame="1"/>
        </w:rPr>
        <w:t xml:space="preserve"> Write to the administrators </w:t>
      </w:r>
      <w:r w:rsidR="000E10E9">
        <w:rPr>
          <w:rFonts w:eastAsia="Times New Roman" w:cstheme="minorHAnsi"/>
          <w:color w:val="000000"/>
          <w:sz w:val="20"/>
          <w:szCs w:val="20"/>
          <w:bdr w:val="none" w:sz="0" w:space="0" w:color="auto" w:frame="1"/>
        </w:rPr>
        <w:t>who</w:t>
      </w:r>
      <w:r w:rsidRPr="006C6505">
        <w:rPr>
          <w:rFonts w:eastAsia="Times New Roman" w:cstheme="minorHAnsi"/>
          <w:color w:val="000000"/>
          <w:sz w:val="20"/>
          <w:szCs w:val="20"/>
          <w:bdr w:val="none" w:sz="0" w:space="0" w:color="auto" w:frame="1"/>
        </w:rPr>
        <w:t xml:space="preserve"> determine the codes </w:t>
      </w:r>
      <w:r w:rsidR="00391BF2">
        <w:rPr>
          <w:rFonts w:eastAsia="Times New Roman" w:cstheme="minorHAnsi"/>
          <w:color w:val="000000"/>
          <w:sz w:val="20"/>
          <w:szCs w:val="20"/>
          <w:bdr w:val="none" w:sz="0" w:space="0" w:color="auto" w:frame="1"/>
        </w:rPr>
        <w:t>for implementing AB 1114!</w:t>
      </w:r>
      <w:r w:rsidR="009911BD">
        <w:rPr>
          <w:rFonts w:eastAsia="Times New Roman" w:cstheme="minorHAnsi"/>
          <w:bCs/>
          <w:color w:val="212121"/>
          <w:sz w:val="20"/>
          <w:szCs w:val="20"/>
          <w:bdr w:val="none" w:sz="0" w:space="0" w:color="auto" w:frame="1"/>
        </w:rPr>
        <w:t xml:space="preserve"> </w:t>
      </w:r>
      <w:r w:rsidR="00E32BDD" w:rsidRPr="006C6505">
        <w:rPr>
          <w:rFonts w:eastAsia="Times New Roman" w:cstheme="minorHAnsi"/>
          <w:bCs/>
          <w:color w:val="212121"/>
          <w:sz w:val="20"/>
          <w:szCs w:val="20"/>
          <w:bdr w:val="none" w:sz="0" w:space="0" w:color="auto" w:frame="1"/>
        </w:rPr>
        <w:t>Names and addresses are listed at the end of this handout.</w:t>
      </w:r>
      <w:r w:rsidRPr="006C6505">
        <w:rPr>
          <w:rFonts w:eastAsia="Times New Roman" w:cstheme="minorHAnsi"/>
          <w:color w:val="000000"/>
          <w:sz w:val="20"/>
          <w:szCs w:val="20"/>
          <w:bdr w:val="none" w:sz="0" w:space="0" w:color="auto" w:frame="1"/>
        </w:rPr>
        <w:t xml:space="preserve"> </w:t>
      </w:r>
      <w:r w:rsidR="009911BD">
        <w:rPr>
          <w:rFonts w:eastAsia="Times New Roman" w:cstheme="minorHAnsi"/>
          <w:bCs/>
          <w:color w:val="212121"/>
          <w:sz w:val="20"/>
          <w:szCs w:val="20"/>
          <w:bdr w:val="none" w:sz="0" w:space="0" w:color="auto" w:frame="1"/>
        </w:rPr>
        <w:t>And, share this information with friends and colleagues</w:t>
      </w:r>
      <w:r w:rsidR="009911BD">
        <w:rPr>
          <w:rFonts w:eastAsia="Times New Roman" w:cstheme="minorHAnsi"/>
          <w:bCs/>
          <w:color w:val="212121"/>
          <w:sz w:val="20"/>
          <w:szCs w:val="20"/>
          <w:bdr w:val="none" w:sz="0" w:space="0" w:color="auto" w:frame="1"/>
        </w:rPr>
        <w:t>!</w:t>
      </w:r>
    </w:p>
    <w:p w14:paraId="382B36FE" w14:textId="7AE451E0" w:rsidR="00A53AC7" w:rsidRPr="00A523E1" w:rsidRDefault="00A53AC7" w:rsidP="006A14E6">
      <w:pPr>
        <w:rPr>
          <w:rFonts w:eastAsia="Times New Roman" w:cstheme="minorHAnsi"/>
          <w:color w:val="000000"/>
          <w:sz w:val="16"/>
          <w:szCs w:val="16"/>
          <w:bdr w:val="none" w:sz="0" w:space="0" w:color="auto" w:frame="1"/>
        </w:rPr>
      </w:pPr>
    </w:p>
    <w:p w14:paraId="52CA783A" w14:textId="2936C460" w:rsidR="00A53AC7" w:rsidRPr="00E1374F" w:rsidRDefault="008468F2" w:rsidP="00E1374F">
      <w:pPr>
        <w:autoSpaceDE w:val="0"/>
        <w:autoSpaceDN w:val="0"/>
        <w:adjustRightInd w:val="0"/>
        <w:rPr>
          <w:rFonts w:cstheme="minorHAnsi"/>
          <w:b/>
          <w:color w:val="000000" w:themeColor="text1"/>
          <w:sz w:val="20"/>
          <w:szCs w:val="20"/>
        </w:rPr>
      </w:pPr>
      <w:r>
        <w:rPr>
          <w:rFonts w:cstheme="minorHAnsi"/>
          <w:b/>
          <w:color w:val="000000" w:themeColor="text1"/>
          <w:sz w:val="20"/>
          <w:szCs w:val="20"/>
        </w:rPr>
        <w:t xml:space="preserve">Table 1. </w:t>
      </w:r>
      <w:r w:rsidR="006D74CF" w:rsidRPr="006C6505">
        <w:rPr>
          <w:rFonts w:cstheme="minorHAnsi"/>
          <w:b/>
          <w:color w:val="000000" w:themeColor="text1"/>
          <w:sz w:val="20"/>
          <w:szCs w:val="20"/>
        </w:rPr>
        <w:t>DOCUMENTATION REQUIREMENTS FOR</w:t>
      </w:r>
      <w:r>
        <w:rPr>
          <w:rFonts w:cstheme="minorHAnsi"/>
          <w:b/>
          <w:color w:val="000000" w:themeColor="text1"/>
          <w:sz w:val="20"/>
          <w:szCs w:val="20"/>
        </w:rPr>
        <w:t xml:space="preserve"> </w:t>
      </w:r>
      <w:r w:rsidR="006D74CF" w:rsidRPr="006C6505">
        <w:rPr>
          <w:rFonts w:cstheme="minorHAnsi"/>
          <w:b/>
          <w:color w:val="000000" w:themeColor="text1"/>
          <w:sz w:val="20"/>
          <w:szCs w:val="20"/>
        </w:rPr>
        <w:t>NEW- AND ESTABLISHED-PATIENT OFFICE VISITS</w:t>
      </w:r>
    </w:p>
    <w:tbl>
      <w:tblPr>
        <w:tblStyle w:val="TableGrid"/>
        <w:tblW w:w="0" w:type="auto"/>
        <w:tblLook w:val="04A0" w:firstRow="1" w:lastRow="0" w:firstColumn="1" w:lastColumn="0" w:noHBand="0" w:noVBand="1"/>
      </w:tblPr>
      <w:tblGrid>
        <w:gridCol w:w="710"/>
        <w:gridCol w:w="2250"/>
        <w:gridCol w:w="2250"/>
        <w:gridCol w:w="1856"/>
        <w:gridCol w:w="1725"/>
      </w:tblGrid>
      <w:tr w:rsidR="006D74CF" w14:paraId="6409E146" w14:textId="77777777" w:rsidTr="00E1374F">
        <w:tc>
          <w:tcPr>
            <w:tcW w:w="8791" w:type="dxa"/>
            <w:gridSpan w:val="5"/>
          </w:tcPr>
          <w:p w14:paraId="19581AD3" w14:textId="74AAC78A" w:rsidR="006D74CF" w:rsidRPr="006C6505" w:rsidRDefault="006D74CF" w:rsidP="006D74CF">
            <w:pPr>
              <w:autoSpaceDE w:val="0"/>
              <w:autoSpaceDN w:val="0"/>
              <w:adjustRightInd w:val="0"/>
              <w:rPr>
                <w:rFonts w:cstheme="minorHAnsi"/>
                <w:b/>
                <w:color w:val="000000"/>
                <w:sz w:val="18"/>
                <w:szCs w:val="18"/>
              </w:rPr>
            </w:pPr>
            <w:r w:rsidRPr="006C6505">
              <w:rPr>
                <w:rFonts w:cstheme="minorHAnsi"/>
                <w:b/>
                <w:color w:val="000000"/>
                <w:sz w:val="18"/>
                <w:szCs w:val="18"/>
              </w:rPr>
              <w:t>New patient</w:t>
            </w:r>
          </w:p>
        </w:tc>
      </w:tr>
      <w:tr w:rsidR="00A53AC7" w14:paraId="17CEFBA1" w14:textId="77777777" w:rsidTr="00E1374F">
        <w:tc>
          <w:tcPr>
            <w:tcW w:w="710" w:type="dxa"/>
          </w:tcPr>
          <w:p w14:paraId="6A14255A" w14:textId="43613285" w:rsidR="00A53AC7" w:rsidRPr="006C6505" w:rsidRDefault="00A53AC7" w:rsidP="00A53AC7">
            <w:pPr>
              <w:rPr>
                <w:rFonts w:eastAsia="Times New Roman" w:cstheme="minorHAnsi"/>
                <w:sz w:val="18"/>
                <w:szCs w:val="18"/>
              </w:rPr>
            </w:pPr>
            <w:r w:rsidRPr="006C6505">
              <w:rPr>
                <w:rFonts w:cstheme="minorHAnsi"/>
                <w:color w:val="000000"/>
                <w:sz w:val="18"/>
                <w:szCs w:val="18"/>
              </w:rPr>
              <w:t>Code</w:t>
            </w:r>
          </w:p>
        </w:tc>
        <w:tc>
          <w:tcPr>
            <w:tcW w:w="2250" w:type="dxa"/>
          </w:tcPr>
          <w:p w14:paraId="21E9CF41" w14:textId="02DBE4F9" w:rsidR="00A53AC7" w:rsidRPr="006C6505" w:rsidRDefault="00A53AC7" w:rsidP="00A53AC7">
            <w:pPr>
              <w:rPr>
                <w:rFonts w:eastAsia="Times New Roman" w:cstheme="minorHAnsi"/>
                <w:sz w:val="18"/>
                <w:szCs w:val="18"/>
              </w:rPr>
            </w:pPr>
            <w:r w:rsidRPr="006C6505">
              <w:rPr>
                <w:rFonts w:cstheme="minorHAnsi"/>
                <w:color w:val="000000"/>
                <w:sz w:val="18"/>
                <w:szCs w:val="18"/>
              </w:rPr>
              <w:t xml:space="preserve">History </w:t>
            </w:r>
          </w:p>
        </w:tc>
        <w:tc>
          <w:tcPr>
            <w:tcW w:w="2250" w:type="dxa"/>
          </w:tcPr>
          <w:p w14:paraId="21C0B71F" w14:textId="19BC6987" w:rsidR="00A53AC7" w:rsidRPr="006C6505" w:rsidRDefault="00A53AC7" w:rsidP="00A53AC7">
            <w:pPr>
              <w:rPr>
                <w:rFonts w:eastAsia="Times New Roman" w:cstheme="minorHAnsi"/>
                <w:sz w:val="18"/>
                <w:szCs w:val="18"/>
              </w:rPr>
            </w:pPr>
            <w:r w:rsidRPr="006C6505">
              <w:rPr>
                <w:rFonts w:cstheme="minorHAnsi"/>
                <w:color w:val="000000"/>
                <w:sz w:val="18"/>
                <w:szCs w:val="18"/>
              </w:rPr>
              <w:t xml:space="preserve">Exam </w:t>
            </w:r>
          </w:p>
        </w:tc>
        <w:tc>
          <w:tcPr>
            <w:tcW w:w="1856" w:type="dxa"/>
          </w:tcPr>
          <w:p w14:paraId="793DF72D" w14:textId="33017E87" w:rsidR="00A53AC7" w:rsidRPr="006C6505" w:rsidRDefault="006D74CF" w:rsidP="00A53AC7">
            <w:pPr>
              <w:rPr>
                <w:rFonts w:eastAsia="Times New Roman" w:cstheme="minorHAnsi"/>
                <w:sz w:val="18"/>
                <w:szCs w:val="18"/>
              </w:rPr>
            </w:pPr>
            <w:r w:rsidRPr="006C6505">
              <w:rPr>
                <w:rFonts w:cstheme="minorHAnsi"/>
                <w:color w:val="000000"/>
                <w:sz w:val="18"/>
                <w:szCs w:val="18"/>
              </w:rPr>
              <w:t xml:space="preserve">Medical </w:t>
            </w:r>
            <w:r w:rsidR="00A53AC7" w:rsidRPr="006C6505">
              <w:rPr>
                <w:rFonts w:cstheme="minorHAnsi"/>
                <w:color w:val="000000"/>
                <w:sz w:val="18"/>
                <w:szCs w:val="18"/>
              </w:rPr>
              <w:t>Decision</w:t>
            </w:r>
            <w:r w:rsidRPr="006C6505">
              <w:rPr>
                <w:rFonts w:cstheme="minorHAnsi"/>
                <w:color w:val="000000"/>
                <w:sz w:val="18"/>
                <w:szCs w:val="18"/>
              </w:rPr>
              <w:t>-</w:t>
            </w:r>
            <w:r w:rsidR="00A53AC7" w:rsidRPr="006C6505">
              <w:rPr>
                <w:rFonts w:cstheme="minorHAnsi"/>
                <w:color w:val="000000"/>
                <w:sz w:val="18"/>
                <w:szCs w:val="18"/>
              </w:rPr>
              <w:t>making</w:t>
            </w:r>
          </w:p>
        </w:tc>
        <w:tc>
          <w:tcPr>
            <w:tcW w:w="1725" w:type="dxa"/>
          </w:tcPr>
          <w:p w14:paraId="59406E29" w14:textId="5909E085" w:rsidR="00A53AC7" w:rsidRPr="006C6505" w:rsidRDefault="006D74CF" w:rsidP="00A53AC7">
            <w:pPr>
              <w:rPr>
                <w:rFonts w:eastAsia="Times New Roman" w:cstheme="minorHAnsi"/>
                <w:sz w:val="18"/>
                <w:szCs w:val="18"/>
              </w:rPr>
            </w:pPr>
            <w:r w:rsidRPr="006C6505">
              <w:rPr>
                <w:rFonts w:cstheme="minorHAnsi"/>
                <w:color w:val="000000"/>
                <w:sz w:val="18"/>
                <w:szCs w:val="18"/>
              </w:rPr>
              <w:t xml:space="preserve">Typical face-to-face </w:t>
            </w:r>
            <w:r w:rsidR="00A53AC7" w:rsidRPr="006C6505">
              <w:rPr>
                <w:rFonts w:cstheme="minorHAnsi"/>
                <w:color w:val="000000"/>
                <w:sz w:val="18"/>
                <w:szCs w:val="18"/>
              </w:rPr>
              <w:t>Time (minutes)</w:t>
            </w:r>
          </w:p>
        </w:tc>
      </w:tr>
      <w:tr w:rsidR="00A53AC7" w14:paraId="5A4F0D04" w14:textId="77777777" w:rsidTr="00E1374F">
        <w:tc>
          <w:tcPr>
            <w:tcW w:w="710" w:type="dxa"/>
          </w:tcPr>
          <w:p w14:paraId="7A981611" w14:textId="6056E59C" w:rsidR="00A53AC7" w:rsidRPr="006C6505" w:rsidRDefault="00A53AC7" w:rsidP="00A53AC7">
            <w:pPr>
              <w:rPr>
                <w:rFonts w:eastAsia="Times New Roman" w:cstheme="minorHAnsi"/>
                <w:sz w:val="18"/>
                <w:szCs w:val="18"/>
              </w:rPr>
            </w:pPr>
            <w:r w:rsidRPr="006C6505">
              <w:rPr>
                <w:rFonts w:cstheme="minorHAnsi"/>
                <w:color w:val="000000"/>
                <w:sz w:val="18"/>
                <w:szCs w:val="18"/>
              </w:rPr>
              <w:t>99201</w:t>
            </w:r>
          </w:p>
        </w:tc>
        <w:tc>
          <w:tcPr>
            <w:tcW w:w="2250" w:type="dxa"/>
          </w:tcPr>
          <w:p w14:paraId="37938E6D" w14:textId="15107D90" w:rsidR="00A53AC7" w:rsidRPr="006C6505" w:rsidRDefault="00A53AC7" w:rsidP="00A53AC7">
            <w:pPr>
              <w:rPr>
                <w:rFonts w:eastAsia="Times New Roman" w:cstheme="minorHAnsi"/>
                <w:sz w:val="18"/>
                <w:szCs w:val="18"/>
              </w:rPr>
            </w:pPr>
            <w:r w:rsidRPr="006C6505">
              <w:rPr>
                <w:rFonts w:cstheme="minorHAnsi"/>
                <w:color w:val="000000"/>
                <w:sz w:val="18"/>
                <w:szCs w:val="18"/>
              </w:rPr>
              <w:t xml:space="preserve">Problem-focused </w:t>
            </w:r>
          </w:p>
        </w:tc>
        <w:tc>
          <w:tcPr>
            <w:tcW w:w="2250" w:type="dxa"/>
          </w:tcPr>
          <w:p w14:paraId="32CBB601" w14:textId="4A1E508A" w:rsidR="00A53AC7" w:rsidRPr="006C6505" w:rsidRDefault="00A53AC7" w:rsidP="00A53AC7">
            <w:pPr>
              <w:rPr>
                <w:rFonts w:eastAsia="Times New Roman" w:cstheme="minorHAnsi"/>
                <w:sz w:val="18"/>
                <w:szCs w:val="18"/>
              </w:rPr>
            </w:pPr>
            <w:r w:rsidRPr="006C6505">
              <w:rPr>
                <w:rFonts w:cstheme="minorHAnsi"/>
                <w:color w:val="000000"/>
                <w:sz w:val="18"/>
                <w:szCs w:val="18"/>
              </w:rPr>
              <w:t>Problem-focused</w:t>
            </w:r>
          </w:p>
        </w:tc>
        <w:tc>
          <w:tcPr>
            <w:tcW w:w="1856" w:type="dxa"/>
          </w:tcPr>
          <w:p w14:paraId="4C120600" w14:textId="523607AA" w:rsidR="00A53AC7" w:rsidRPr="006C6505" w:rsidRDefault="00A53AC7" w:rsidP="00A53AC7">
            <w:pPr>
              <w:rPr>
                <w:rFonts w:eastAsia="Times New Roman" w:cstheme="minorHAnsi"/>
                <w:sz w:val="18"/>
                <w:szCs w:val="18"/>
              </w:rPr>
            </w:pPr>
            <w:r w:rsidRPr="006C6505">
              <w:rPr>
                <w:rFonts w:cstheme="minorHAnsi"/>
                <w:color w:val="000000"/>
                <w:sz w:val="18"/>
                <w:szCs w:val="18"/>
              </w:rPr>
              <w:t>Straightforward</w:t>
            </w:r>
          </w:p>
        </w:tc>
        <w:tc>
          <w:tcPr>
            <w:tcW w:w="1725" w:type="dxa"/>
          </w:tcPr>
          <w:p w14:paraId="6A7D0C55" w14:textId="7DD0F66C" w:rsidR="00A53AC7" w:rsidRPr="006C6505" w:rsidRDefault="00A53AC7" w:rsidP="00A53AC7">
            <w:pPr>
              <w:rPr>
                <w:rFonts w:eastAsia="Times New Roman" w:cstheme="minorHAnsi"/>
                <w:sz w:val="18"/>
                <w:szCs w:val="18"/>
              </w:rPr>
            </w:pPr>
            <w:r w:rsidRPr="006C6505">
              <w:rPr>
                <w:rFonts w:cstheme="minorHAnsi"/>
                <w:color w:val="000000"/>
                <w:sz w:val="18"/>
                <w:szCs w:val="18"/>
              </w:rPr>
              <w:t>10</w:t>
            </w:r>
          </w:p>
        </w:tc>
      </w:tr>
      <w:tr w:rsidR="00A53AC7" w14:paraId="1DCF722C" w14:textId="77777777" w:rsidTr="00E1374F">
        <w:tc>
          <w:tcPr>
            <w:tcW w:w="710" w:type="dxa"/>
          </w:tcPr>
          <w:p w14:paraId="25B34120" w14:textId="548A7C21" w:rsidR="00A53AC7" w:rsidRPr="006C6505" w:rsidRDefault="00A53AC7" w:rsidP="00A53AC7">
            <w:pPr>
              <w:rPr>
                <w:rFonts w:eastAsia="Times New Roman" w:cstheme="minorHAnsi"/>
                <w:sz w:val="18"/>
                <w:szCs w:val="18"/>
              </w:rPr>
            </w:pPr>
            <w:r w:rsidRPr="006C6505">
              <w:rPr>
                <w:rFonts w:cstheme="minorHAnsi"/>
                <w:color w:val="000000"/>
                <w:sz w:val="18"/>
                <w:szCs w:val="18"/>
              </w:rPr>
              <w:t xml:space="preserve">99202 </w:t>
            </w:r>
          </w:p>
        </w:tc>
        <w:tc>
          <w:tcPr>
            <w:tcW w:w="2250" w:type="dxa"/>
          </w:tcPr>
          <w:p w14:paraId="68D626F7" w14:textId="4F3780E6" w:rsidR="00A53AC7" w:rsidRPr="006C6505" w:rsidRDefault="00A53AC7" w:rsidP="00A53AC7">
            <w:pPr>
              <w:rPr>
                <w:rFonts w:eastAsia="Times New Roman" w:cstheme="minorHAnsi"/>
                <w:sz w:val="18"/>
                <w:szCs w:val="18"/>
              </w:rPr>
            </w:pPr>
            <w:r w:rsidRPr="006C6505">
              <w:rPr>
                <w:rFonts w:cstheme="minorHAnsi"/>
                <w:color w:val="000000"/>
                <w:sz w:val="18"/>
                <w:szCs w:val="18"/>
              </w:rPr>
              <w:t xml:space="preserve">Expanded problem-focused </w:t>
            </w:r>
          </w:p>
        </w:tc>
        <w:tc>
          <w:tcPr>
            <w:tcW w:w="2250" w:type="dxa"/>
          </w:tcPr>
          <w:p w14:paraId="7AA1B05D" w14:textId="2BBC7481" w:rsidR="00A53AC7" w:rsidRPr="006C6505" w:rsidRDefault="00A53AC7" w:rsidP="00A53AC7">
            <w:pPr>
              <w:rPr>
                <w:rFonts w:eastAsia="Times New Roman" w:cstheme="minorHAnsi"/>
                <w:sz w:val="18"/>
                <w:szCs w:val="18"/>
              </w:rPr>
            </w:pPr>
            <w:r w:rsidRPr="006C6505">
              <w:rPr>
                <w:rFonts w:cstheme="minorHAnsi"/>
                <w:color w:val="000000"/>
                <w:sz w:val="18"/>
                <w:szCs w:val="18"/>
              </w:rPr>
              <w:t xml:space="preserve">Expanded problem-focused </w:t>
            </w:r>
          </w:p>
        </w:tc>
        <w:tc>
          <w:tcPr>
            <w:tcW w:w="1856" w:type="dxa"/>
          </w:tcPr>
          <w:p w14:paraId="27F7C970" w14:textId="763A628A" w:rsidR="00A53AC7" w:rsidRPr="006C6505" w:rsidRDefault="00A53AC7" w:rsidP="00A53AC7">
            <w:pPr>
              <w:rPr>
                <w:rFonts w:eastAsia="Times New Roman" w:cstheme="minorHAnsi"/>
                <w:sz w:val="18"/>
                <w:szCs w:val="18"/>
              </w:rPr>
            </w:pPr>
            <w:r w:rsidRPr="006C6505">
              <w:rPr>
                <w:rFonts w:cstheme="minorHAnsi"/>
                <w:color w:val="000000"/>
                <w:sz w:val="18"/>
                <w:szCs w:val="18"/>
              </w:rPr>
              <w:t>Straightforward</w:t>
            </w:r>
          </w:p>
        </w:tc>
        <w:tc>
          <w:tcPr>
            <w:tcW w:w="1725" w:type="dxa"/>
          </w:tcPr>
          <w:p w14:paraId="67F785A8" w14:textId="38E34D5B" w:rsidR="00A53AC7" w:rsidRPr="006C6505" w:rsidRDefault="00A53AC7" w:rsidP="00A53AC7">
            <w:pPr>
              <w:rPr>
                <w:rFonts w:eastAsia="Times New Roman" w:cstheme="minorHAnsi"/>
                <w:sz w:val="18"/>
                <w:szCs w:val="18"/>
              </w:rPr>
            </w:pPr>
            <w:r w:rsidRPr="006C6505">
              <w:rPr>
                <w:rFonts w:cstheme="minorHAnsi"/>
                <w:color w:val="000000"/>
                <w:sz w:val="18"/>
                <w:szCs w:val="18"/>
              </w:rPr>
              <w:t>20</w:t>
            </w:r>
          </w:p>
        </w:tc>
      </w:tr>
      <w:tr w:rsidR="00A53AC7" w14:paraId="170CAD21" w14:textId="77777777" w:rsidTr="00E1374F">
        <w:tc>
          <w:tcPr>
            <w:tcW w:w="710" w:type="dxa"/>
          </w:tcPr>
          <w:p w14:paraId="3A5BCA4A" w14:textId="0724C53E" w:rsidR="00A53AC7" w:rsidRPr="006C6505" w:rsidRDefault="00A53AC7" w:rsidP="00A53AC7">
            <w:pPr>
              <w:rPr>
                <w:rFonts w:eastAsia="Times New Roman" w:cstheme="minorHAnsi"/>
                <w:sz w:val="18"/>
                <w:szCs w:val="18"/>
              </w:rPr>
            </w:pPr>
            <w:r w:rsidRPr="006C6505">
              <w:rPr>
                <w:rFonts w:cstheme="minorHAnsi"/>
                <w:color w:val="000000"/>
                <w:sz w:val="18"/>
                <w:szCs w:val="18"/>
              </w:rPr>
              <w:t>99203</w:t>
            </w:r>
          </w:p>
        </w:tc>
        <w:tc>
          <w:tcPr>
            <w:tcW w:w="2250" w:type="dxa"/>
          </w:tcPr>
          <w:p w14:paraId="6E6C5D95" w14:textId="3E66AC49" w:rsidR="00A53AC7" w:rsidRPr="006C6505" w:rsidRDefault="00A53AC7" w:rsidP="00A53AC7">
            <w:pPr>
              <w:rPr>
                <w:rFonts w:eastAsia="Times New Roman" w:cstheme="minorHAnsi"/>
                <w:sz w:val="18"/>
                <w:szCs w:val="18"/>
              </w:rPr>
            </w:pPr>
            <w:r w:rsidRPr="006C6505">
              <w:rPr>
                <w:rFonts w:cstheme="minorHAnsi"/>
                <w:color w:val="000000"/>
                <w:sz w:val="18"/>
                <w:szCs w:val="18"/>
              </w:rPr>
              <w:t>Detailed</w:t>
            </w:r>
          </w:p>
        </w:tc>
        <w:tc>
          <w:tcPr>
            <w:tcW w:w="2250" w:type="dxa"/>
          </w:tcPr>
          <w:p w14:paraId="4E4F2220" w14:textId="0F8575FB" w:rsidR="00A53AC7" w:rsidRPr="006C6505" w:rsidRDefault="00A53AC7" w:rsidP="00A53AC7">
            <w:pPr>
              <w:rPr>
                <w:rFonts w:eastAsia="Times New Roman" w:cstheme="minorHAnsi"/>
                <w:sz w:val="18"/>
                <w:szCs w:val="18"/>
              </w:rPr>
            </w:pPr>
            <w:r w:rsidRPr="006C6505">
              <w:rPr>
                <w:rFonts w:cstheme="minorHAnsi"/>
                <w:color w:val="000000"/>
                <w:sz w:val="18"/>
                <w:szCs w:val="18"/>
              </w:rPr>
              <w:t>Detailed</w:t>
            </w:r>
          </w:p>
        </w:tc>
        <w:tc>
          <w:tcPr>
            <w:tcW w:w="1856" w:type="dxa"/>
          </w:tcPr>
          <w:p w14:paraId="4CDD0F59" w14:textId="3AF91CE7" w:rsidR="00A53AC7" w:rsidRPr="006C6505" w:rsidRDefault="00A53AC7" w:rsidP="00A53AC7">
            <w:pPr>
              <w:rPr>
                <w:rFonts w:eastAsia="Times New Roman" w:cstheme="minorHAnsi"/>
                <w:sz w:val="18"/>
                <w:szCs w:val="18"/>
              </w:rPr>
            </w:pPr>
            <w:r w:rsidRPr="006C6505">
              <w:rPr>
                <w:rFonts w:cstheme="minorHAnsi"/>
                <w:color w:val="000000"/>
                <w:sz w:val="18"/>
                <w:szCs w:val="18"/>
              </w:rPr>
              <w:t>Low</w:t>
            </w:r>
          </w:p>
        </w:tc>
        <w:tc>
          <w:tcPr>
            <w:tcW w:w="1725" w:type="dxa"/>
          </w:tcPr>
          <w:p w14:paraId="57A2AE7C" w14:textId="01D69261" w:rsidR="00A53AC7" w:rsidRPr="006C6505" w:rsidRDefault="00A53AC7" w:rsidP="00A53AC7">
            <w:pPr>
              <w:rPr>
                <w:rFonts w:eastAsia="Times New Roman" w:cstheme="minorHAnsi"/>
                <w:sz w:val="18"/>
                <w:szCs w:val="18"/>
              </w:rPr>
            </w:pPr>
            <w:r w:rsidRPr="006C6505">
              <w:rPr>
                <w:rFonts w:cstheme="minorHAnsi"/>
                <w:color w:val="000000"/>
                <w:sz w:val="18"/>
                <w:szCs w:val="18"/>
              </w:rPr>
              <w:t>30</w:t>
            </w:r>
          </w:p>
        </w:tc>
      </w:tr>
      <w:tr w:rsidR="00A53AC7" w14:paraId="22E12368" w14:textId="77777777" w:rsidTr="00E1374F">
        <w:tc>
          <w:tcPr>
            <w:tcW w:w="710" w:type="dxa"/>
          </w:tcPr>
          <w:p w14:paraId="5C5A9BE9" w14:textId="462F6390" w:rsidR="00A53AC7" w:rsidRPr="006C6505" w:rsidRDefault="00A53AC7" w:rsidP="00A53AC7">
            <w:pPr>
              <w:rPr>
                <w:rFonts w:eastAsia="Times New Roman" w:cstheme="minorHAnsi"/>
                <w:sz w:val="18"/>
                <w:szCs w:val="18"/>
              </w:rPr>
            </w:pPr>
            <w:r w:rsidRPr="006C6505">
              <w:rPr>
                <w:rFonts w:cstheme="minorHAnsi"/>
                <w:color w:val="000000"/>
                <w:sz w:val="18"/>
                <w:szCs w:val="18"/>
              </w:rPr>
              <w:t>99204</w:t>
            </w:r>
          </w:p>
        </w:tc>
        <w:tc>
          <w:tcPr>
            <w:tcW w:w="2250" w:type="dxa"/>
          </w:tcPr>
          <w:p w14:paraId="1B1C1A14" w14:textId="62F461BE" w:rsidR="00A53AC7" w:rsidRPr="006C6505" w:rsidRDefault="00A53AC7" w:rsidP="00A53AC7">
            <w:pPr>
              <w:rPr>
                <w:rFonts w:eastAsia="Times New Roman" w:cstheme="minorHAnsi"/>
                <w:sz w:val="18"/>
                <w:szCs w:val="18"/>
              </w:rPr>
            </w:pPr>
            <w:r w:rsidRPr="006C6505">
              <w:rPr>
                <w:rFonts w:cstheme="minorHAnsi"/>
                <w:color w:val="000000"/>
                <w:sz w:val="18"/>
                <w:szCs w:val="18"/>
              </w:rPr>
              <w:t>Comprehensive</w:t>
            </w:r>
          </w:p>
        </w:tc>
        <w:tc>
          <w:tcPr>
            <w:tcW w:w="2250" w:type="dxa"/>
          </w:tcPr>
          <w:p w14:paraId="20214257" w14:textId="1CC20A72" w:rsidR="00A53AC7" w:rsidRPr="006C6505" w:rsidRDefault="00A53AC7" w:rsidP="00A53AC7">
            <w:pPr>
              <w:rPr>
                <w:rFonts w:eastAsia="Times New Roman" w:cstheme="minorHAnsi"/>
                <w:sz w:val="18"/>
                <w:szCs w:val="18"/>
              </w:rPr>
            </w:pPr>
            <w:r w:rsidRPr="006C6505">
              <w:rPr>
                <w:rFonts w:cstheme="minorHAnsi"/>
                <w:color w:val="000000"/>
                <w:sz w:val="18"/>
                <w:szCs w:val="18"/>
              </w:rPr>
              <w:t xml:space="preserve">Comprehensive </w:t>
            </w:r>
          </w:p>
        </w:tc>
        <w:tc>
          <w:tcPr>
            <w:tcW w:w="1856" w:type="dxa"/>
          </w:tcPr>
          <w:p w14:paraId="36FACB9D" w14:textId="7EEBA6B7" w:rsidR="00A53AC7" w:rsidRPr="006C6505" w:rsidRDefault="00A53AC7" w:rsidP="00A53AC7">
            <w:pPr>
              <w:rPr>
                <w:rFonts w:eastAsia="Times New Roman" w:cstheme="minorHAnsi"/>
                <w:sz w:val="18"/>
                <w:szCs w:val="18"/>
              </w:rPr>
            </w:pPr>
            <w:r w:rsidRPr="006C6505">
              <w:rPr>
                <w:rFonts w:cstheme="minorHAnsi"/>
                <w:color w:val="000000"/>
                <w:sz w:val="18"/>
                <w:szCs w:val="18"/>
              </w:rPr>
              <w:t>Moderate</w:t>
            </w:r>
          </w:p>
        </w:tc>
        <w:tc>
          <w:tcPr>
            <w:tcW w:w="1725" w:type="dxa"/>
          </w:tcPr>
          <w:p w14:paraId="4E620EDD" w14:textId="3167A854" w:rsidR="00A53AC7" w:rsidRPr="006C6505" w:rsidRDefault="00A53AC7" w:rsidP="00A53AC7">
            <w:pPr>
              <w:rPr>
                <w:rFonts w:eastAsia="Times New Roman" w:cstheme="minorHAnsi"/>
                <w:sz w:val="18"/>
                <w:szCs w:val="18"/>
              </w:rPr>
            </w:pPr>
            <w:r w:rsidRPr="006C6505">
              <w:rPr>
                <w:rFonts w:cstheme="minorHAnsi"/>
                <w:color w:val="000000"/>
                <w:sz w:val="18"/>
                <w:szCs w:val="18"/>
              </w:rPr>
              <w:t>45</w:t>
            </w:r>
          </w:p>
        </w:tc>
      </w:tr>
      <w:tr w:rsidR="00A53AC7" w14:paraId="50EC953C" w14:textId="77777777" w:rsidTr="00E1374F">
        <w:tc>
          <w:tcPr>
            <w:tcW w:w="710" w:type="dxa"/>
          </w:tcPr>
          <w:p w14:paraId="32180E92" w14:textId="5F4CBBCE" w:rsidR="00A53AC7" w:rsidRPr="006C6505" w:rsidRDefault="00A53AC7" w:rsidP="00A53AC7">
            <w:pPr>
              <w:rPr>
                <w:rFonts w:eastAsia="Times New Roman" w:cstheme="minorHAnsi"/>
                <w:sz w:val="18"/>
                <w:szCs w:val="18"/>
              </w:rPr>
            </w:pPr>
            <w:r w:rsidRPr="006C6505">
              <w:rPr>
                <w:rFonts w:cstheme="minorHAnsi"/>
                <w:color w:val="000000"/>
                <w:sz w:val="18"/>
                <w:szCs w:val="18"/>
              </w:rPr>
              <w:t>99205</w:t>
            </w:r>
          </w:p>
        </w:tc>
        <w:tc>
          <w:tcPr>
            <w:tcW w:w="2250" w:type="dxa"/>
          </w:tcPr>
          <w:p w14:paraId="5FF3BCF2" w14:textId="395EC775" w:rsidR="00A53AC7" w:rsidRPr="006C6505" w:rsidRDefault="00A53AC7" w:rsidP="00A53AC7">
            <w:pPr>
              <w:rPr>
                <w:rFonts w:eastAsia="Times New Roman" w:cstheme="minorHAnsi"/>
                <w:sz w:val="18"/>
                <w:szCs w:val="18"/>
              </w:rPr>
            </w:pPr>
            <w:r w:rsidRPr="006C6505">
              <w:rPr>
                <w:rFonts w:cstheme="minorHAnsi"/>
                <w:color w:val="000000"/>
                <w:sz w:val="18"/>
                <w:szCs w:val="18"/>
              </w:rPr>
              <w:t>Comprehensive</w:t>
            </w:r>
          </w:p>
        </w:tc>
        <w:tc>
          <w:tcPr>
            <w:tcW w:w="2250" w:type="dxa"/>
          </w:tcPr>
          <w:p w14:paraId="24A47BD0" w14:textId="61EC3190" w:rsidR="00A53AC7" w:rsidRPr="006C6505" w:rsidRDefault="00A53AC7" w:rsidP="00A53AC7">
            <w:pPr>
              <w:rPr>
                <w:rFonts w:eastAsia="Times New Roman" w:cstheme="minorHAnsi"/>
                <w:sz w:val="18"/>
                <w:szCs w:val="18"/>
              </w:rPr>
            </w:pPr>
            <w:r w:rsidRPr="006C6505">
              <w:rPr>
                <w:rFonts w:cstheme="minorHAnsi"/>
                <w:color w:val="000000"/>
                <w:sz w:val="18"/>
                <w:szCs w:val="18"/>
              </w:rPr>
              <w:t>Comprehensive</w:t>
            </w:r>
          </w:p>
        </w:tc>
        <w:tc>
          <w:tcPr>
            <w:tcW w:w="1856" w:type="dxa"/>
          </w:tcPr>
          <w:p w14:paraId="552EA39E" w14:textId="09DE5354" w:rsidR="00A53AC7" w:rsidRPr="006C6505" w:rsidRDefault="00A53AC7" w:rsidP="00A53AC7">
            <w:pPr>
              <w:rPr>
                <w:rFonts w:eastAsia="Times New Roman" w:cstheme="minorHAnsi"/>
                <w:sz w:val="18"/>
                <w:szCs w:val="18"/>
              </w:rPr>
            </w:pPr>
            <w:r w:rsidRPr="006C6505">
              <w:rPr>
                <w:rFonts w:cstheme="minorHAnsi"/>
                <w:color w:val="000000"/>
                <w:sz w:val="18"/>
                <w:szCs w:val="18"/>
              </w:rPr>
              <w:t>High</w:t>
            </w:r>
          </w:p>
        </w:tc>
        <w:tc>
          <w:tcPr>
            <w:tcW w:w="1725" w:type="dxa"/>
          </w:tcPr>
          <w:p w14:paraId="7947C20E" w14:textId="312F7C62" w:rsidR="00A53AC7" w:rsidRPr="006C6505" w:rsidRDefault="00A53AC7" w:rsidP="00A53AC7">
            <w:pPr>
              <w:rPr>
                <w:rFonts w:eastAsia="Times New Roman" w:cstheme="minorHAnsi"/>
                <w:sz w:val="18"/>
                <w:szCs w:val="18"/>
              </w:rPr>
            </w:pPr>
            <w:r w:rsidRPr="006C6505">
              <w:rPr>
                <w:rFonts w:cstheme="minorHAnsi"/>
                <w:color w:val="000000"/>
                <w:sz w:val="18"/>
                <w:szCs w:val="18"/>
              </w:rPr>
              <w:t>60</w:t>
            </w:r>
          </w:p>
        </w:tc>
      </w:tr>
      <w:tr w:rsidR="006D74CF" w14:paraId="108D5166" w14:textId="77777777" w:rsidTr="00E1374F">
        <w:tc>
          <w:tcPr>
            <w:tcW w:w="8791" w:type="dxa"/>
            <w:gridSpan w:val="5"/>
          </w:tcPr>
          <w:p w14:paraId="4BDA4B73" w14:textId="4A1982E5" w:rsidR="006D74CF" w:rsidRPr="00E1374F" w:rsidRDefault="00E1374F" w:rsidP="006A14E6">
            <w:pPr>
              <w:rPr>
                <w:rFonts w:cstheme="minorHAnsi"/>
                <w:sz w:val="16"/>
                <w:szCs w:val="16"/>
              </w:rPr>
            </w:pPr>
            <w:r w:rsidRPr="00E1374F">
              <w:rPr>
                <w:rFonts w:cstheme="minorHAnsi"/>
                <w:sz w:val="16"/>
                <w:szCs w:val="16"/>
              </w:rPr>
              <w:t>*</w:t>
            </w:r>
            <w:r w:rsidR="006D74CF" w:rsidRPr="00E1374F">
              <w:rPr>
                <w:rFonts w:cstheme="minorHAnsi"/>
                <w:sz w:val="16"/>
                <w:szCs w:val="16"/>
              </w:rPr>
              <w:t>All three key components must be met.</w:t>
            </w:r>
          </w:p>
        </w:tc>
      </w:tr>
      <w:tr w:rsidR="00090E62" w14:paraId="75EE1BA5" w14:textId="77777777" w:rsidTr="00E1374F">
        <w:tc>
          <w:tcPr>
            <w:tcW w:w="8791" w:type="dxa"/>
            <w:gridSpan w:val="5"/>
          </w:tcPr>
          <w:p w14:paraId="556745D0" w14:textId="77777777" w:rsidR="00090E62" w:rsidRPr="006C6505" w:rsidRDefault="00090E62" w:rsidP="006A14E6">
            <w:pPr>
              <w:rPr>
                <w:rFonts w:cstheme="minorHAnsi"/>
                <w:sz w:val="10"/>
                <w:szCs w:val="10"/>
              </w:rPr>
            </w:pPr>
          </w:p>
        </w:tc>
      </w:tr>
      <w:tr w:rsidR="006D74CF" w14:paraId="4FFA6508" w14:textId="77777777" w:rsidTr="00E1374F">
        <w:tc>
          <w:tcPr>
            <w:tcW w:w="8791" w:type="dxa"/>
            <w:gridSpan w:val="5"/>
          </w:tcPr>
          <w:p w14:paraId="728E164C" w14:textId="135A2FA8" w:rsidR="006D74CF" w:rsidRPr="006C6505" w:rsidRDefault="006D74CF" w:rsidP="006A14E6">
            <w:pPr>
              <w:rPr>
                <w:rFonts w:eastAsia="Times New Roman" w:cstheme="minorHAnsi"/>
                <w:b/>
                <w:sz w:val="18"/>
                <w:szCs w:val="18"/>
              </w:rPr>
            </w:pPr>
            <w:r w:rsidRPr="006C6505">
              <w:rPr>
                <w:rFonts w:cstheme="minorHAnsi"/>
                <w:b/>
                <w:sz w:val="18"/>
                <w:szCs w:val="18"/>
              </w:rPr>
              <w:t>Established Patient</w:t>
            </w:r>
          </w:p>
        </w:tc>
      </w:tr>
      <w:tr w:rsidR="006D74CF" w14:paraId="39186217" w14:textId="77777777" w:rsidTr="00E1374F">
        <w:tc>
          <w:tcPr>
            <w:tcW w:w="710" w:type="dxa"/>
          </w:tcPr>
          <w:p w14:paraId="5402D4D3" w14:textId="55641DA9" w:rsidR="006D74CF" w:rsidRPr="006C6505" w:rsidRDefault="006D74CF" w:rsidP="006D74CF">
            <w:pPr>
              <w:rPr>
                <w:rFonts w:eastAsia="Times New Roman" w:cstheme="minorHAnsi"/>
                <w:sz w:val="18"/>
                <w:szCs w:val="18"/>
              </w:rPr>
            </w:pPr>
            <w:r w:rsidRPr="006C6505">
              <w:rPr>
                <w:rFonts w:cstheme="minorHAnsi"/>
                <w:color w:val="000000"/>
                <w:sz w:val="18"/>
                <w:szCs w:val="18"/>
              </w:rPr>
              <w:t>Code</w:t>
            </w:r>
          </w:p>
        </w:tc>
        <w:tc>
          <w:tcPr>
            <w:tcW w:w="2250" w:type="dxa"/>
          </w:tcPr>
          <w:p w14:paraId="0BAB723B" w14:textId="7CD2B016" w:rsidR="006D74CF" w:rsidRPr="006C6505" w:rsidRDefault="006D74CF" w:rsidP="006D74CF">
            <w:pPr>
              <w:rPr>
                <w:rFonts w:eastAsia="Times New Roman" w:cstheme="minorHAnsi"/>
                <w:sz w:val="18"/>
                <w:szCs w:val="18"/>
              </w:rPr>
            </w:pPr>
            <w:r w:rsidRPr="006C6505">
              <w:rPr>
                <w:rFonts w:cstheme="minorHAnsi"/>
                <w:color w:val="000000"/>
                <w:sz w:val="18"/>
                <w:szCs w:val="18"/>
              </w:rPr>
              <w:t xml:space="preserve">History </w:t>
            </w:r>
          </w:p>
        </w:tc>
        <w:tc>
          <w:tcPr>
            <w:tcW w:w="2250" w:type="dxa"/>
          </w:tcPr>
          <w:p w14:paraId="4B49F12A" w14:textId="39BA3813" w:rsidR="006D74CF" w:rsidRPr="006C6505" w:rsidRDefault="006D74CF" w:rsidP="006D74CF">
            <w:pPr>
              <w:rPr>
                <w:rFonts w:eastAsia="Times New Roman" w:cstheme="minorHAnsi"/>
                <w:sz w:val="18"/>
                <w:szCs w:val="18"/>
              </w:rPr>
            </w:pPr>
            <w:r w:rsidRPr="006C6505">
              <w:rPr>
                <w:rFonts w:cstheme="minorHAnsi"/>
                <w:color w:val="000000"/>
                <w:sz w:val="18"/>
                <w:szCs w:val="18"/>
              </w:rPr>
              <w:t xml:space="preserve">Exam </w:t>
            </w:r>
          </w:p>
        </w:tc>
        <w:tc>
          <w:tcPr>
            <w:tcW w:w="1856" w:type="dxa"/>
          </w:tcPr>
          <w:p w14:paraId="6EB5A6C8" w14:textId="1AD0B465" w:rsidR="006D74CF" w:rsidRPr="006C6505" w:rsidRDefault="006D74CF" w:rsidP="006D74CF">
            <w:pPr>
              <w:rPr>
                <w:rFonts w:eastAsia="Times New Roman" w:cstheme="minorHAnsi"/>
                <w:sz w:val="18"/>
                <w:szCs w:val="18"/>
              </w:rPr>
            </w:pPr>
            <w:r w:rsidRPr="006C6505">
              <w:rPr>
                <w:rFonts w:cstheme="minorHAnsi"/>
                <w:color w:val="000000"/>
                <w:sz w:val="18"/>
                <w:szCs w:val="18"/>
              </w:rPr>
              <w:t>Medical Decision-making</w:t>
            </w:r>
          </w:p>
        </w:tc>
        <w:tc>
          <w:tcPr>
            <w:tcW w:w="1725" w:type="dxa"/>
          </w:tcPr>
          <w:p w14:paraId="49CC2E48" w14:textId="28700553" w:rsidR="006D74CF" w:rsidRPr="006C6505" w:rsidRDefault="006D74CF" w:rsidP="006D74CF">
            <w:pPr>
              <w:rPr>
                <w:rFonts w:eastAsia="Times New Roman" w:cstheme="minorHAnsi"/>
                <w:sz w:val="18"/>
                <w:szCs w:val="18"/>
              </w:rPr>
            </w:pPr>
            <w:r w:rsidRPr="006C6505">
              <w:rPr>
                <w:rFonts w:cstheme="minorHAnsi"/>
                <w:color w:val="000000"/>
                <w:sz w:val="18"/>
                <w:szCs w:val="18"/>
              </w:rPr>
              <w:t>Typical face-to-face Time (minutes)</w:t>
            </w:r>
          </w:p>
        </w:tc>
      </w:tr>
      <w:tr w:rsidR="006D74CF" w14:paraId="6DDB631B" w14:textId="77777777" w:rsidTr="00E1374F">
        <w:tc>
          <w:tcPr>
            <w:tcW w:w="710" w:type="dxa"/>
          </w:tcPr>
          <w:p w14:paraId="7777CF57" w14:textId="12494C3A" w:rsidR="006D74CF" w:rsidRPr="006C6505" w:rsidRDefault="006D74CF" w:rsidP="006D74CF">
            <w:pPr>
              <w:rPr>
                <w:rFonts w:eastAsia="Times New Roman" w:cstheme="minorHAnsi"/>
                <w:sz w:val="18"/>
                <w:szCs w:val="18"/>
              </w:rPr>
            </w:pPr>
            <w:r w:rsidRPr="006C6505">
              <w:rPr>
                <w:rFonts w:cstheme="minorHAnsi"/>
                <w:color w:val="000000"/>
                <w:sz w:val="18"/>
                <w:szCs w:val="18"/>
              </w:rPr>
              <w:t>99211</w:t>
            </w:r>
          </w:p>
        </w:tc>
        <w:tc>
          <w:tcPr>
            <w:tcW w:w="2250" w:type="dxa"/>
          </w:tcPr>
          <w:p w14:paraId="4A5A2548" w14:textId="096C64BE" w:rsidR="006D74CF" w:rsidRPr="006C6505" w:rsidRDefault="006D74CF" w:rsidP="006D74CF">
            <w:pPr>
              <w:rPr>
                <w:rFonts w:eastAsia="Times New Roman" w:cstheme="minorHAnsi"/>
                <w:sz w:val="18"/>
                <w:szCs w:val="18"/>
              </w:rPr>
            </w:pPr>
            <w:r w:rsidRPr="006C6505">
              <w:rPr>
                <w:rFonts w:cstheme="minorHAnsi"/>
                <w:color w:val="000000"/>
                <w:sz w:val="18"/>
                <w:szCs w:val="18"/>
              </w:rPr>
              <w:t>Not required</w:t>
            </w:r>
          </w:p>
        </w:tc>
        <w:tc>
          <w:tcPr>
            <w:tcW w:w="2250" w:type="dxa"/>
          </w:tcPr>
          <w:p w14:paraId="7F550B8D" w14:textId="60D15201" w:rsidR="006D74CF" w:rsidRPr="006C6505" w:rsidRDefault="006D74CF" w:rsidP="006D74CF">
            <w:pPr>
              <w:rPr>
                <w:rFonts w:eastAsia="Times New Roman" w:cstheme="minorHAnsi"/>
                <w:sz w:val="18"/>
                <w:szCs w:val="18"/>
              </w:rPr>
            </w:pPr>
            <w:r w:rsidRPr="006C6505">
              <w:rPr>
                <w:rFonts w:cstheme="minorHAnsi"/>
                <w:color w:val="000000"/>
                <w:sz w:val="18"/>
                <w:szCs w:val="18"/>
              </w:rPr>
              <w:t>Not required</w:t>
            </w:r>
          </w:p>
        </w:tc>
        <w:tc>
          <w:tcPr>
            <w:tcW w:w="1856" w:type="dxa"/>
          </w:tcPr>
          <w:p w14:paraId="7CA91C9A" w14:textId="644DD1DF" w:rsidR="006D74CF" w:rsidRPr="006C6505" w:rsidRDefault="006D74CF" w:rsidP="006D74CF">
            <w:pPr>
              <w:rPr>
                <w:rFonts w:eastAsia="Times New Roman" w:cstheme="minorHAnsi"/>
                <w:sz w:val="18"/>
                <w:szCs w:val="18"/>
              </w:rPr>
            </w:pPr>
            <w:r w:rsidRPr="006C6505">
              <w:rPr>
                <w:rFonts w:cstheme="minorHAnsi"/>
                <w:color w:val="000000"/>
                <w:sz w:val="18"/>
                <w:szCs w:val="18"/>
              </w:rPr>
              <w:t>Not required</w:t>
            </w:r>
          </w:p>
        </w:tc>
        <w:tc>
          <w:tcPr>
            <w:tcW w:w="1725" w:type="dxa"/>
          </w:tcPr>
          <w:p w14:paraId="7EBB2DDD" w14:textId="187934C7" w:rsidR="006D74CF" w:rsidRPr="006C6505" w:rsidRDefault="006D74CF" w:rsidP="006D74CF">
            <w:pPr>
              <w:rPr>
                <w:rFonts w:eastAsia="Times New Roman" w:cstheme="minorHAnsi"/>
                <w:sz w:val="18"/>
                <w:szCs w:val="18"/>
              </w:rPr>
            </w:pPr>
            <w:r w:rsidRPr="006C6505">
              <w:rPr>
                <w:rFonts w:cstheme="minorHAnsi"/>
                <w:color w:val="000000"/>
                <w:sz w:val="18"/>
                <w:szCs w:val="18"/>
              </w:rPr>
              <w:t>5</w:t>
            </w:r>
          </w:p>
        </w:tc>
      </w:tr>
      <w:tr w:rsidR="006D74CF" w14:paraId="704333B7" w14:textId="77777777" w:rsidTr="00E1374F">
        <w:tc>
          <w:tcPr>
            <w:tcW w:w="710" w:type="dxa"/>
          </w:tcPr>
          <w:p w14:paraId="1475EB56" w14:textId="7CEA64D2" w:rsidR="006D74CF" w:rsidRPr="006C6505" w:rsidRDefault="006D74CF" w:rsidP="006D74CF">
            <w:pPr>
              <w:rPr>
                <w:rFonts w:eastAsia="Times New Roman" w:cstheme="minorHAnsi"/>
                <w:sz w:val="18"/>
                <w:szCs w:val="18"/>
              </w:rPr>
            </w:pPr>
            <w:r w:rsidRPr="006C6505">
              <w:rPr>
                <w:rFonts w:cstheme="minorHAnsi"/>
                <w:color w:val="000000"/>
                <w:sz w:val="18"/>
                <w:szCs w:val="18"/>
              </w:rPr>
              <w:t xml:space="preserve">99212 </w:t>
            </w:r>
          </w:p>
        </w:tc>
        <w:tc>
          <w:tcPr>
            <w:tcW w:w="2250" w:type="dxa"/>
          </w:tcPr>
          <w:p w14:paraId="0AD204B5" w14:textId="6855BBE1" w:rsidR="006D74CF" w:rsidRPr="006C6505" w:rsidRDefault="006D74CF" w:rsidP="006D74CF">
            <w:pPr>
              <w:rPr>
                <w:rFonts w:eastAsia="Times New Roman" w:cstheme="minorHAnsi"/>
                <w:sz w:val="18"/>
                <w:szCs w:val="18"/>
              </w:rPr>
            </w:pPr>
            <w:r w:rsidRPr="006C6505">
              <w:rPr>
                <w:rFonts w:cstheme="minorHAnsi"/>
                <w:color w:val="000000"/>
                <w:sz w:val="18"/>
                <w:szCs w:val="18"/>
              </w:rPr>
              <w:t xml:space="preserve">Problem-focused </w:t>
            </w:r>
          </w:p>
        </w:tc>
        <w:tc>
          <w:tcPr>
            <w:tcW w:w="2250" w:type="dxa"/>
          </w:tcPr>
          <w:p w14:paraId="360B4BA7" w14:textId="653E40AE" w:rsidR="006D74CF" w:rsidRPr="006C6505" w:rsidRDefault="006D74CF" w:rsidP="006D74CF">
            <w:pPr>
              <w:rPr>
                <w:rFonts w:eastAsia="Times New Roman" w:cstheme="minorHAnsi"/>
                <w:sz w:val="18"/>
                <w:szCs w:val="18"/>
              </w:rPr>
            </w:pPr>
            <w:r w:rsidRPr="006C6505">
              <w:rPr>
                <w:rFonts w:cstheme="minorHAnsi"/>
                <w:color w:val="000000"/>
                <w:sz w:val="18"/>
                <w:szCs w:val="18"/>
              </w:rPr>
              <w:t>Problem-focused</w:t>
            </w:r>
          </w:p>
        </w:tc>
        <w:tc>
          <w:tcPr>
            <w:tcW w:w="1856" w:type="dxa"/>
          </w:tcPr>
          <w:p w14:paraId="6A620C79" w14:textId="75CE375F" w:rsidR="006D74CF" w:rsidRPr="006C6505" w:rsidRDefault="006D74CF" w:rsidP="006D74CF">
            <w:pPr>
              <w:rPr>
                <w:rFonts w:eastAsia="Times New Roman" w:cstheme="minorHAnsi"/>
                <w:sz w:val="18"/>
                <w:szCs w:val="18"/>
              </w:rPr>
            </w:pPr>
            <w:r w:rsidRPr="006C6505">
              <w:rPr>
                <w:rFonts w:cstheme="minorHAnsi"/>
                <w:color w:val="000000"/>
                <w:sz w:val="18"/>
                <w:szCs w:val="18"/>
              </w:rPr>
              <w:t xml:space="preserve">Straightforward </w:t>
            </w:r>
          </w:p>
        </w:tc>
        <w:tc>
          <w:tcPr>
            <w:tcW w:w="1725" w:type="dxa"/>
          </w:tcPr>
          <w:p w14:paraId="4E8570BF" w14:textId="032F20F1" w:rsidR="006D74CF" w:rsidRPr="006C6505" w:rsidRDefault="006D74CF" w:rsidP="006D74CF">
            <w:pPr>
              <w:rPr>
                <w:rFonts w:eastAsia="Times New Roman" w:cstheme="minorHAnsi"/>
                <w:sz w:val="18"/>
                <w:szCs w:val="18"/>
              </w:rPr>
            </w:pPr>
            <w:r w:rsidRPr="006C6505">
              <w:rPr>
                <w:rFonts w:cstheme="minorHAnsi"/>
                <w:color w:val="000000"/>
                <w:sz w:val="18"/>
                <w:szCs w:val="18"/>
              </w:rPr>
              <w:t>10</w:t>
            </w:r>
          </w:p>
        </w:tc>
      </w:tr>
      <w:tr w:rsidR="006D74CF" w14:paraId="339E01A9" w14:textId="77777777" w:rsidTr="00E1374F">
        <w:tc>
          <w:tcPr>
            <w:tcW w:w="710" w:type="dxa"/>
          </w:tcPr>
          <w:p w14:paraId="5D23D5A3" w14:textId="472AC4C6" w:rsidR="006D74CF" w:rsidRPr="006C6505" w:rsidRDefault="006D74CF" w:rsidP="006D74CF">
            <w:pPr>
              <w:rPr>
                <w:rFonts w:eastAsia="Times New Roman" w:cstheme="minorHAnsi"/>
                <w:sz w:val="18"/>
                <w:szCs w:val="18"/>
              </w:rPr>
            </w:pPr>
            <w:r w:rsidRPr="006C6505">
              <w:rPr>
                <w:rFonts w:cstheme="minorHAnsi"/>
                <w:color w:val="000000"/>
                <w:sz w:val="18"/>
                <w:szCs w:val="18"/>
              </w:rPr>
              <w:t xml:space="preserve">99213 </w:t>
            </w:r>
          </w:p>
        </w:tc>
        <w:tc>
          <w:tcPr>
            <w:tcW w:w="2250" w:type="dxa"/>
          </w:tcPr>
          <w:p w14:paraId="42C7A641" w14:textId="212EB137" w:rsidR="006D74CF" w:rsidRPr="006C6505" w:rsidRDefault="006D74CF" w:rsidP="006D74CF">
            <w:pPr>
              <w:rPr>
                <w:rFonts w:eastAsia="Times New Roman" w:cstheme="minorHAnsi"/>
                <w:sz w:val="18"/>
                <w:szCs w:val="18"/>
              </w:rPr>
            </w:pPr>
            <w:r w:rsidRPr="006C6505">
              <w:rPr>
                <w:rFonts w:cstheme="minorHAnsi"/>
                <w:color w:val="000000"/>
                <w:sz w:val="18"/>
                <w:szCs w:val="18"/>
              </w:rPr>
              <w:t>Expanded problem-focused</w:t>
            </w:r>
          </w:p>
        </w:tc>
        <w:tc>
          <w:tcPr>
            <w:tcW w:w="2250" w:type="dxa"/>
          </w:tcPr>
          <w:p w14:paraId="0041F5DE" w14:textId="178DEB07" w:rsidR="006D74CF" w:rsidRPr="006C6505" w:rsidRDefault="006D74CF" w:rsidP="006D74CF">
            <w:pPr>
              <w:rPr>
                <w:rFonts w:eastAsia="Times New Roman" w:cstheme="minorHAnsi"/>
                <w:sz w:val="18"/>
                <w:szCs w:val="18"/>
              </w:rPr>
            </w:pPr>
            <w:r w:rsidRPr="006C6505">
              <w:rPr>
                <w:rFonts w:cstheme="minorHAnsi"/>
                <w:color w:val="000000"/>
                <w:sz w:val="18"/>
                <w:szCs w:val="18"/>
              </w:rPr>
              <w:t>Expanded problem-focused</w:t>
            </w:r>
          </w:p>
        </w:tc>
        <w:tc>
          <w:tcPr>
            <w:tcW w:w="1856" w:type="dxa"/>
          </w:tcPr>
          <w:p w14:paraId="7D81E87D" w14:textId="0550F799" w:rsidR="006D74CF" w:rsidRPr="006C6505" w:rsidRDefault="006D74CF" w:rsidP="006D74CF">
            <w:pPr>
              <w:rPr>
                <w:rFonts w:eastAsia="Times New Roman" w:cstheme="minorHAnsi"/>
                <w:sz w:val="18"/>
                <w:szCs w:val="18"/>
              </w:rPr>
            </w:pPr>
            <w:r w:rsidRPr="006C6505">
              <w:rPr>
                <w:rFonts w:cstheme="minorHAnsi"/>
                <w:color w:val="000000"/>
                <w:sz w:val="18"/>
                <w:szCs w:val="18"/>
              </w:rPr>
              <w:t>Low</w:t>
            </w:r>
          </w:p>
        </w:tc>
        <w:tc>
          <w:tcPr>
            <w:tcW w:w="1725" w:type="dxa"/>
          </w:tcPr>
          <w:p w14:paraId="7BC0EF01" w14:textId="169DA2C6" w:rsidR="006D74CF" w:rsidRPr="006C6505" w:rsidRDefault="006D74CF" w:rsidP="006D74CF">
            <w:pPr>
              <w:rPr>
                <w:rFonts w:eastAsia="Times New Roman" w:cstheme="minorHAnsi"/>
                <w:sz w:val="18"/>
                <w:szCs w:val="18"/>
              </w:rPr>
            </w:pPr>
            <w:r w:rsidRPr="006C6505">
              <w:rPr>
                <w:rFonts w:cstheme="minorHAnsi"/>
                <w:color w:val="000000"/>
                <w:sz w:val="18"/>
                <w:szCs w:val="18"/>
              </w:rPr>
              <w:t>15</w:t>
            </w:r>
          </w:p>
        </w:tc>
      </w:tr>
      <w:tr w:rsidR="006D74CF" w14:paraId="7A828AFE" w14:textId="77777777" w:rsidTr="00E1374F">
        <w:tc>
          <w:tcPr>
            <w:tcW w:w="710" w:type="dxa"/>
          </w:tcPr>
          <w:p w14:paraId="4FB27374" w14:textId="79158710" w:rsidR="006D74CF" w:rsidRPr="006C6505" w:rsidRDefault="006D74CF" w:rsidP="006D74CF">
            <w:pPr>
              <w:rPr>
                <w:rFonts w:eastAsia="Times New Roman" w:cstheme="minorHAnsi"/>
                <w:sz w:val="18"/>
                <w:szCs w:val="18"/>
              </w:rPr>
            </w:pPr>
            <w:r w:rsidRPr="006C6505">
              <w:rPr>
                <w:rFonts w:cstheme="minorHAnsi"/>
                <w:color w:val="000000"/>
                <w:sz w:val="18"/>
                <w:szCs w:val="18"/>
              </w:rPr>
              <w:t>99214</w:t>
            </w:r>
          </w:p>
        </w:tc>
        <w:tc>
          <w:tcPr>
            <w:tcW w:w="2250" w:type="dxa"/>
          </w:tcPr>
          <w:p w14:paraId="0C0418CA" w14:textId="23D2D4CC" w:rsidR="006D74CF" w:rsidRPr="006C6505" w:rsidRDefault="006D74CF" w:rsidP="006D74CF">
            <w:pPr>
              <w:rPr>
                <w:rFonts w:eastAsia="Times New Roman" w:cstheme="minorHAnsi"/>
                <w:sz w:val="18"/>
                <w:szCs w:val="18"/>
              </w:rPr>
            </w:pPr>
            <w:r w:rsidRPr="006C6505">
              <w:rPr>
                <w:rFonts w:cstheme="minorHAnsi"/>
                <w:color w:val="000000"/>
                <w:sz w:val="18"/>
                <w:szCs w:val="18"/>
              </w:rPr>
              <w:t>Detailed</w:t>
            </w:r>
          </w:p>
        </w:tc>
        <w:tc>
          <w:tcPr>
            <w:tcW w:w="2250" w:type="dxa"/>
          </w:tcPr>
          <w:p w14:paraId="1437A339" w14:textId="142B0C79" w:rsidR="006D74CF" w:rsidRPr="006C6505" w:rsidRDefault="006D74CF" w:rsidP="006D74CF">
            <w:pPr>
              <w:rPr>
                <w:rFonts w:eastAsia="Times New Roman" w:cstheme="minorHAnsi"/>
                <w:sz w:val="18"/>
                <w:szCs w:val="18"/>
              </w:rPr>
            </w:pPr>
            <w:r w:rsidRPr="006C6505">
              <w:rPr>
                <w:rFonts w:cstheme="minorHAnsi"/>
                <w:color w:val="000000"/>
                <w:sz w:val="18"/>
                <w:szCs w:val="18"/>
              </w:rPr>
              <w:t>Detailed</w:t>
            </w:r>
          </w:p>
        </w:tc>
        <w:tc>
          <w:tcPr>
            <w:tcW w:w="1856" w:type="dxa"/>
          </w:tcPr>
          <w:p w14:paraId="357D9122" w14:textId="7B358FBE" w:rsidR="006D74CF" w:rsidRPr="006C6505" w:rsidRDefault="006D74CF" w:rsidP="006D74CF">
            <w:pPr>
              <w:rPr>
                <w:rFonts w:eastAsia="Times New Roman" w:cstheme="minorHAnsi"/>
                <w:sz w:val="18"/>
                <w:szCs w:val="18"/>
              </w:rPr>
            </w:pPr>
            <w:r w:rsidRPr="006C6505">
              <w:rPr>
                <w:rFonts w:cstheme="minorHAnsi"/>
                <w:color w:val="000000"/>
                <w:sz w:val="18"/>
                <w:szCs w:val="18"/>
              </w:rPr>
              <w:t>Moderate</w:t>
            </w:r>
          </w:p>
        </w:tc>
        <w:tc>
          <w:tcPr>
            <w:tcW w:w="1725" w:type="dxa"/>
          </w:tcPr>
          <w:p w14:paraId="2D358D82" w14:textId="387A3AAE" w:rsidR="006D74CF" w:rsidRPr="006C6505" w:rsidRDefault="006D74CF" w:rsidP="006D74CF">
            <w:pPr>
              <w:rPr>
                <w:rFonts w:eastAsia="Times New Roman" w:cstheme="minorHAnsi"/>
                <w:sz w:val="18"/>
                <w:szCs w:val="18"/>
              </w:rPr>
            </w:pPr>
            <w:r w:rsidRPr="006C6505">
              <w:rPr>
                <w:rFonts w:cstheme="minorHAnsi"/>
                <w:color w:val="000000"/>
                <w:sz w:val="18"/>
                <w:szCs w:val="18"/>
              </w:rPr>
              <w:t>25</w:t>
            </w:r>
          </w:p>
        </w:tc>
      </w:tr>
      <w:tr w:rsidR="006D74CF" w14:paraId="64701938" w14:textId="77777777" w:rsidTr="00E1374F">
        <w:tc>
          <w:tcPr>
            <w:tcW w:w="710" w:type="dxa"/>
          </w:tcPr>
          <w:p w14:paraId="7D1B1926" w14:textId="66954CA2" w:rsidR="006D74CF" w:rsidRPr="006C6505" w:rsidRDefault="006D74CF" w:rsidP="006D74CF">
            <w:pPr>
              <w:rPr>
                <w:rFonts w:eastAsia="Times New Roman" w:cstheme="minorHAnsi"/>
                <w:sz w:val="18"/>
                <w:szCs w:val="18"/>
              </w:rPr>
            </w:pPr>
            <w:r w:rsidRPr="006C6505">
              <w:rPr>
                <w:rFonts w:cstheme="minorHAnsi"/>
                <w:color w:val="000000"/>
                <w:sz w:val="18"/>
                <w:szCs w:val="18"/>
              </w:rPr>
              <w:t>99215</w:t>
            </w:r>
          </w:p>
        </w:tc>
        <w:tc>
          <w:tcPr>
            <w:tcW w:w="2250" w:type="dxa"/>
          </w:tcPr>
          <w:p w14:paraId="13A0AFC8" w14:textId="153880A6" w:rsidR="006D74CF" w:rsidRPr="006C6505" w:rsidRDefault="006D74CF" w:rsidP="006D74CF">
            <w:pPr>
              <w:rPr>
                <w:rFonts w:eastAsia="Times New Roman" w:cstheme="minorHAnsi"/>
                <w:sz w:val="18"/>
                <w:szCs w:val="18"/>
              </w:rPr>
            </w:pPr>
            <w:r w:rsidRPr="006C6505">
              <w:rPr>
                <w:rFonts w:cstheme="minorHAnsi"/>
                <w:color w:val="000000"/>
                <w:sz w:val="18"/>
                <w:szCs w:val="18"/>
              </w:rPr>
              <w:t>Comprehensive</w:t>
            </w:r>
          </w:p>
        </w:tc>
        <w:tc>
          <w:tcPr>
            <w:tcW w:w="2250" w:type="dxa"/>
          </w:tcPr>
          <w:p w14:paraId="16845191" w14:textId="1C7A2B46" w:rsidR="006D74CF" w:rsidRPr="006C6505" w:rsidRDefault="006D74CF" w:rsidP="006D74CF">
            <w:pPr>
              <w:rPr>
                <w:rFonts w:eastAsia="Times New Roman" w:cstheme="minorHAnsi"/>
                <w:sz w:val="18"/>
                <w:szCs w:val="18"/>
              </w:rPr>
            </w:pPr>
            <w:r w:rsidRPr="006C6505">
              <w:rPr>
                <w:rFonts w:cstheme="minorHAnsi"/>
                <w:color w:val="000000"/>
                <w:sz w:val="18"/>
                <w:szCs w:val="18"/>
              </w:rPr>
              <w:t>Comprehensive</w:t>
            </w:r>
          </w:p>
        </w:tc>
        <w:tc>
          <w:tcPr>
            <w:tcW w:w="1856" w:type="dxa"/>
          </w:tcPr>
          <w:p w14:paraId="6D39ED35" w14:textId="50D85765" w:rsidR="006D74CF" w:rsidRPr="006C6505" w:rsidRDefault="006D74CF" w:rsidP="006D74CF">
            <w:pPr>
              <w:rPr>
                <w:rFonts w:eastAsia="Times New Roman" w:cstheme="minorHAnsi"/>
                <w:sz w:val="18"/>
                <w:szCs w:val="18"/>
              </w:rPr>
            </w:pPr>
            <w:r w:rsidRPr="006C6505">
              <w:rPr>
                <w:rFonts w:cstheme="minorHAnsi"/>
                <w:color w:val="000000"/>
                <w:sz w:val="18"/>
                <w:szCs w:val="18"/>
              </w:rPr>
              <w:t>High</w:t>
            </w:r>
          </w:p>
        </w:tc>
        <w:tc>
          <w:tcPr>
            <w:tcW w:w="1725" w:type="dxa"/>
          </w:tcPr>
          <w:p w14:paraId="624DF9AC" w14:textId="4429FA41" w:rsidR="006D74CF" w:rsidRPr="006C6505" w:rsidRDefault="006D74CF" w:rsidP="006D74CF">
            <w:pPr>
              <w:rPr>
                <w:rFonts w:eastAsia="Times New Roman" w:cstheme="minorHAnsi"/>
                <w:sz w:val="18"/>
                <w:szCs w:val="18"/>
              </w:rPr>
            </w:pPr>
            <w:r w:rsidRPr="006C6505">
              <w:rPr>
                <w:rFonts w:cstheme="minorHAnsi"/>
                <w:color w:val="000000"/>
                <w:sz w:val="18"/>
                <w:szCs w:val="18"/>
              </w:rPr>
              <w:t>High 40</w:t>
            </w:r>
          </w:p>
        </w:tc>
      </w:tr>
      <w:tr w:rsidR="006D74CF" w14:paraId="44717541" w14:textId="77777777" w:rsidTr="00E1374F">
        <w:tc>
          <w:tcPr>
            <w:tcW w:w="8791" w:type="dxa"/>
            <w:gridSpan w:val="5"/>
          </w:tcPr>
          <w:p w14:paraId="6EF83E0D" w14:textId="1013AC2B" w:rsidR="006D74CF" w:rsidRPr="00E1374F" w:rsidRDefault="00E1374F" w:rsidP="006A14E6">
            <w:pPr>
              <w:rPr>
                <w:rFonts w:eastAsia="Times New Roman" w:cstheme="minorHAnsi"/>
                <w:sz w:val="16"/>
                <w:szCs w:val="16"/>
              </w:rPr>
            </w:pPr>
            <w:r w:rsidRPr="00E1374F">
              <w:rPr>
                <w:rFonts w:cstheme="minorHAnsi"/>
                <w:sz w:val="16"/>
                <w:szCs w:val="16"/>
              </w:rPr>
              <w:t>*</w:t>
            </w:r>
            <w:r w:rsidR="006D74CF" w:rsidRPr="00E1374F">
              <w:rPr>
                <w:rFonts w:cstheme="minorHAnsi"/>
                <w:sz w:val="16"/>
                <w:szCs w:val="16"/>
              </w:rPr>
              <w:t>Two of the three key components must be met.</w:t>
            </w:r>
          </w:p>
        </w:tc>
      </w:tr>
    </w:tbl>
    <w:p w14:paraId="40B4F14C" w14:textId="4208AD50" w:rsidR="006A14E6" w:rsidRPr="00A523E1" w:rsidRDefault="006A14E6" w:rsidP="006A14E6">
      <w:pPr>
        <w:rPr>
          <w:sz w:val="16"/>
          <w:szCs w:val="16"/>
        </w:rPr>
      </w:pPr>
    </w:p>
    <w:p w14:paraId="61EDB7B1" w14:textId="729BA19F" w:rsidR="00C4140A" w:rsidRPr="00C4140A" w:rsidRDefault="00C4140A" w:rsidP="006A14E6">
      <w:pPr>
        <w:rPr>
          <w:b/>
          <w:sz w:val="20"/>
          <w:szCs w:val="20"/>
        </w:rPr>
      </w:pPr>
      <w:r w:rsidRPr="00C4140A">
        <w:rPr>
          <w:b/>
          <w:sz w:val="20"/>
          <w:szCs w:val="20"/>
        </w:rPr>
        <w:t>Administrators to address letters for advocating correct coding for AB 1114</w:t>
      </w:r>
    </w:p>
    <w:tbl>
      <w:tblPr>
        <w:tblStyle w:val="TableGrid"/>
        <w:tblW w:w="0" w:type="auto"/>
        <w:tblLook w:val="04A0" w:firstRow="1" w:lastRow="0" w:firstColumn="1" w:lastColumn="0" w:noHBand="0" w:noVBand="1"/>
      </w:tblPr>
      <w:tblGrid>
        <w:gridCol w:w="3865"/>
        <w:gridCol w:w="4950"/>
      </w:tblGrid>
      <w:tr w:rsidR="00E73105" w14:paraId="69EA328B" w14:textId="77777777" w:rsidTr="00E73105">
        <w:tc>
          <w:tcPr>
            <w:tcW w:w="3865" w:type="dxa"/>
          </w:tcPr>
          <w:p w14:paraId="0B2AF8D9" w14:textId="5EFF86B1" w:rsidR="00E73105" w:rsidRPr="00C4140A" w:rsidRDefault="00E73105" w:rsidP="006A14E6">
            <w:pPr>
              <w:rPr>
                <w:b/>
                <w:sz w:val="18"/>
                <w:szCs w:val="18"/>
              </w:rPr>
            </w:pPr>
            <w:r w:rsidRPr="00C4140A">
              <w:rPr>
                <w:b/>
                <w:sz w:val="18"/>
                <w:szCs w:val="18"/>
              </w:rPr>
              <w:t>DHCS</w:t>
            </w:r>
          </w:p>
        </w:tc>
        <w:tc>
          <w:tcPr>
            <w:tcW w:w="4950" w:type="dxa"/>
          </w:tcPr>
          <w:p w14:paraId="0A9953FC" w14:textId="0D262801" w:rsidR="00E73105" w:rsidRPr="00C4140A" w:rsidRDefault="00E73105" w:rsidP="006A14E6">
            <w:pPr>
              <w:rPr>
                <w:b/>
                <w:sz w:val="18"/>
                <w:szCs w:val="18"/>
              </w:rPr>
            </w:pPr>
            <w:r w:rsidRPr="00C4140A">
              <w:rPr>
                <w:b/>
                <w:sz w:val="18"/>
                <w:szCs w:val="18"/>
              </w:rPr>
              <w:t>DHCS</w:t>
            </w:r>
          </w:p>
        </w:tc>
      </w:tr>
      <w:tr w:rsidR="00E73105" w14:paraId="020FD788" w14:textId="77777777" w:rsidTr="00E73105">
        <w:tc>
          <w:tcPr>
            <w:tcW w:w="3865" w:type="dxa"/>
          </w:tcPr>
          <w:p w14:paraId="5D16DB86" w14:textId="77777777" w:rsidR="00E73105" w:rsidRPr="00C4140A" w:rsidRDefault="00E73105" w:rsidP="00C4140A">
            <w:pPr>
              <w:pStyle w:val="NormalWeb"/>
              <w:spacing w:before="0" w:beforeAutospacing="0" w:after="0" w:afterAutospacing="0"/>
              <w:rPr>
                <w:color w:val="000000" w:themeColor="text1"/>
                <w:sz w:val="18"/>
                <w:szCs w:val="18"/>
              </w:rPr>
            </w:pPr>
            <w:r w:rsidRPr="00C4140A">
              <w:rPr>
                <w:rFonts w:ascii="Calibri" w:hAnsi="Calibri" w:cs="Calibri"/>
                <w:i/>
                <w:iCs/>
                <w:color w:val="000000" w:themeColor="text1"/>
                <w:sz w:val="18"/>
                <w:szCs w:val="18"/>
                <w:bdr w:val="none" w:sz="0" w:space="0" w:color="auto" w:frame="1"/>
              </w:rPr>
              <w:t>Harry Hendrix</w:t>
            </w:r>
          </w:p>
          <w:p w14:paraId="50F085D6" w14:textId="77777777" w:rsidR="00E73105" w:rsidRPr="00C4140A" w:rsidRDefault="00E73105" w:rsidP="00C4140A">
            <w:pPr>
              <w:pStyle w:val="NormalWeb"/>
              <w:spacing w:before="0" w:beforeAutospacing="0" w:after="0" w:afterAutospacing="0"/>
              <w:rPr>
                <w:color w:val="000000" w:themeColor="text1"/>
                <w:sz w:val="18"/>
                <w:szCs w:val="18"/>
              </w:rPr>
            </w:pPr>
            <w:r w:rsidRPr="00C4140A">
              <w:rPr>
                <w:rFonts w:ascii="Calibri" w:hAnsi="Calibri" w:cs="Calibri"/>
                <w:i/>
                <w:iCs/>
                <w:color w:val="000000" w:themeColor="text1"/>
                <w:sz w:val="18"/>
                <w:szCs w:val="18"/>
                <w:bdr w:val="none" w:sz="0" w:space="0" w:color="auto" w:frame="1"/>
              </w:rPr>
              <w:t>Chief, Pharmacy Benefits Division</w:t>
            </w:r>
          </w:p>
          <w:p w14:paraId="364B3AA2" w14:textId="77777777" w:rsidR="00E73105" w:rsidRPr="00C4140A" w:rsidRDefault="00E73105" w:rsidP="00C4140A">
            <w:pPr>
              <w:pStyle w:val="NormalWeb"/>
              <w:spacing w:before="0" w:beforeAutospacing="0" w:after="0" w:afterAutospacing="0"/>
              <w:rPr>
                <w:color w:val="000000" w:themeColor="text1"/>
                <w:sz w:val="18"/>
                <w:szCs w:val="18"/>
              </w:rPr>
            </w:pPr>
            <w:r w:rsidRPr="00C4140A">
              <w:rPr>
                <w:rFonts w:ascii="Calibri" w:hAnsi="Calibri" w:cs="Calibri"/>
                <w:i/>
                <w:iCs/>
                <w:color w:val="000000" w:themeColor="text1"/>
                <w:sz w:val="18"/>
                <w:szCs w:val="18"/>
                <w:bdr w:val="none" w:sz="0" w:space="0" w:color="auto" w:frame="1"/>
              </w:rPr>
              <w:t>Department of Health Care Services</w:t>
            </w:r>
          </w:p>
          <w:p w14:paraId="7F153529" w14:textId="77777777" w:rsidR="00E73105" w:rsidRPr="00C4140A" w:rsidRDefault="00E73105" w:rsidP="00C4140A">
            <w:pPr>
              <w:pStyle w:val="NormalWeb"/>
              <w:spacing w:before="0" w:beforeAutospacing="0" w:after="0" w:afterAutospacing="0"/>
              <w:rPr>
                <w:color w:val="000000" w:themeColor="text1"/>
                <w:sz w:val="18"/>
                <w:szCs w:val="18"/>
              </w:rPr>
            </w:pPr>
            <w:r w:rsidRPr="00C4140A">
              <w:rPr>
                <w:rFonts w:ascii="Calibri" w:hAnsi="Calibri" w:cs="Calibri"/>
                <w:i/>
                <w:iCs/>
                <w:color w:val="000000" w:themeColor="text1"/>
                <w:sz w:val="18"/>
                <w:szCs w:val="18"/>
                <w:bdr w:val="none" w:sz="0" w:space="0" w:color="auto" w:frame="1"/>
              </w:rPr>
              <w:t>1500 Capitol Ave.</w:t>
            </w:r>
          </w:p>
          <w:p w14:paraId="07C32103" w14:textId="07F60097" w:rsidR="00E73105" w:rsidRPr="00C4140A" w:rsidRDefault="00E73105" w:rsidP="006C6505">
            <w:pPr>
              <w:pStyle w:val="NormalWeb"/>
              <w:spacing w:before="0" w:beforeAutospacing="0" w:after="0" w:afterAutospacing="0"/>
              <w:rPr>
                <w:color w:val="000000" w:themeColor="text1"/>
                <w:sz w:val="18"/>
                <w:szCs w:val="18"/>
              </w:rPr>
            </w:pPr>
            <w:r w:rsidRPr="00C4140A">
              <w:rPr>
                <w:rFonts w:ascii="Calibri" w:hAnsi="Calibri" w:cs="Calibri"/>
                <w:i/>
                <w:iCs/>
                <w:color w:val="000000" w:themeColor="text1"/>
                <w:sz w:val="18"/>
                <w:szCs w:val="18"/>
                <w:bdr w:val="none" w:sz="0" w:space="0" w:color="auto" w:frame="1"/>
              </w:rPr>
              <w:t>Sacramento, CA 95814</w:t>
            </w:r>
          </w:p>
          <w:p w14:paraId="58A1DF14" w14:textId="77777777" w:rsidR="00E73105" w:rsidRPr="00C4140A" w:rsidRDefault="00E73105" w:rsidP="006C6505">
            <w:pPr>
              <w:pStyle w:val="NormalWeb"/>
              <w:spacing w:before="0" w:beforeAutospacing="0" w:after="0" w:afterAutospacing="0"/>
              <w:rPr>
                <w:color w:val="000000" w:themeColor="text1"/>
                <w:sz w:val="18"/>
                <w:szCs w:val="18"/>
              </w:rPr>
            </w:pPr>
          </w:p>
        </w:tc>
        <w:tc>
          <w:tcPr>
            <w:tcW w:w="4950" w:type="dxa"/>
          </w:tcPr>
          <w:p w14:paraId="1439902A" w14:textId="77777777" w:rsidR="00E73105" w:rsidRPr="00C4140A" w:rsidRDefault="00E73105" w:rsidP="006C6505">
            <w:pPr>
              <w:pStyle w:val="NormalWeb"/>
              <w:spacing w:before="0" w:beforeAutospacing="0" w:after="0" w:afterAutospacing="0"/>
              <w:rPr>
                <w:color w:val="000000" w:themeColor="text1"/>
                <w:sz w:val="18"/>
                <w:szCs w:val="18"/>
              </w:rPr>
            </w:pPr>
            <w:r w:rsidRPr="00C4140A">
              <w:rPr>
                <w:rFonts w:ascii="Calibri" w:hAnsi="Calibri" w:cs="Calibri"/>
                <w:i/>
                <w:iCs/>
                <w:color w:val="000000" w:themeColor="text1"/>
                <w:sz w:val="18"/>
                <w:szCs w:val="18"/>
                <w:bdr w:val="none" w:sz="0" w:space="0" w:color="auto" w:frame="1"/>
              </w:rPr>
              <w:t>Mike Wofford, Pharm D.</w:t>
            </w:r>
          </w:p>
          <w:p w14:paraId="7F5C60F0" w14:textId="77777777" w:rsidR="00E73105" w:rsidRPr="00C4140A" w:rsidRDefault="00E73105" w:rsidP="006C6505">
            <w:pPr>
              <w:pStyle w:val="NormalWeb"/>
              <w:spacing w:before="0" w:beforeAutospacing="0" w:after="0" w:afterAutospacing="0"/>
              <w:rPr>
                <w:color w:val="000000" w:themeColor="text1"/>
                <w:sz w:val="18"/>
                <w:szCs w:val="18"/>
              </w:rPr>
            </w:pPr>
            <w:r w:rsidRPr="00C4140A">
              <w:rPr>
                <w:rFonts w:ascii="Calibri" w:hAnsi="Calibri" w:cs="Calibri"/>
                <w:i/>
                <w:iCs/>
                <w:color w:val="000000" w:themeColor="text1"/>
                <w:sz w:val="18"/>
                <w:szCs w:val="18"/>
                <w:bdr w:val="none" w:sz="0" w:space="0" w:color="auto" w:frame="1"/>
              </w:rPr>
              <w:t>Chief, Pharmacy Policy Branch, Pharmacy Benefits Division</w:t>
            </w:r>
          </w:p>
          <w:p w14:paraId="15FFD48C" w14:textId="77777777" w:rsidR="00E73105" w:rsidRPr="00C4140A" w:rsidRDefault="00E73105" w:rsidP="006C6505">
            <w:pPr>
              <w:pStyle w:val="NormalWeb"/>
              <w:spacing w:before="0" w:beforeAutospacing="0" w:after="0" w:afterAutospacing="0"/>
              <w:rPr>
                <w:color w:val="000000" w:themeColor="text1"/>
                <w:sz w:val="18"/>
                <w:szCs w:val="18"/>
              </w:rPr>
            </w:pPr>
            <w:r w:rsidRPr="00C4140A">
              <w:rPr>
                <w:rFonts w:ascii="Calibri" w:hAnsi="Calibri" w:cs="Calibri"/>
                <w:i/>
                <w:iCs/>
                <w:color w:val="000000" w:themeColor="text1"/>
                <w:sz w:val="18"/>
                <w:szCs w:val="18"/>
                <w:bdr w:val="none" w:sz="0" w:space="0" w:color="auto" w:frame="1"/>
              </w:rPr>
              <w:t>Department of Health Care Services</w:t>
            </w:r>
          </w:p>
          <w:p w14:paraId="1289ADFE" w14:textId="77777777" w:rsidR="00E73105" w:rsidRPr="00C4140A" w:rsidRDefault="00E73105" w:rsidP="006C6505">
            <w:pPr>
              <w:pStyle w:val="NormalWeb"/>
              <w:spacing w:before="0" w:beforeAutospacing="0" w:after="0" w:afterAutospacing="0"/>
              <w:rPr>
                <w:color w:val="000000" w:themeColor="text1"/>
                <w:sz w:val="18"/>
                <w:szCs w:val="18"/>
              </w:rPr>
            </w:pPr>
            <w:r w:rsidRPr="00C4140A">
              <w:rPr>
                <w:rFonts w:ascii="Calibri" w:hAnsi="Calibri" w:cs="Calibri"/>
                <w:i/>
                <w:iCs/>
                <w:color w:val="000000" w:themeColor="text1"/>
                <w:sz w:val="18"/>
                <w:szCs w:val="18"/>
                <w:bdr w:val="none" w:sz="0" w:space="0" w:color="auto" w:frame="1"/>
              </w:rPr>
              <w:t>1500 Capitol Ave.</w:t>
            </w:r>
          </w:p>
          <w:p w14:paraId="46E4A66A" w14:textId="77777777" w:rsidR="00E73105" w:rsidRPr="00C4140A" w:rsidRDefault="00E73105" w:rsidP="006C6505">
            <w:pPr>
              <w:pStyle w:val="NormalWeb"/>
              <w:spacing w:before="0" w:beforeAutospacing="0" w:after="0" w:afterAutospacing="0"/>
              <w:rPr>
                <w:color w:val="000000" w:themeColor="text1"/>
                <w:sz w:val="18"/>
                <w:szCs w:val="18"/>
              </w:rPr>
            </w:pPr>
            <w:r w:rsidRPr="00C4140A">
              <w:rPr>
                <w:rFonts w:ascii="Calibri" w:hAnsi="Calibri" w:cs="Calibri"/>
                <w:i/>
                <w:iCs/>
                <w:color w:val="000000" w:themeColor="text1"/>
                <w:sz w:val="18"/>
                <w:szCs w:val="18"/>
                <w:bdr w:val="none" w:sz="0" w:space="0" w:color="auto" w:frame="1"/>
              </w:rPr>
              <w:t>Sacramento, CA 95814</w:t>
            </w:r>
          </w:p>
          <w:p w14:paraId="54F7E146" w14:textId="77777777" w:rsidR="00E73105" w:rsidRPr="00C4140A" w:rsidRDefault="00E73105" w:rsidP="006A14E6">
            <w:pPr>
              <w:rPr>
                <w:color w:val="000000" w:themeColor="text1"/>
                <w:sz w:val="18"/>
                <w:szCs w:val="18"/>
              </w:rPr>
            </w:pPr>
          </w:p>
        </w:tc>
      </w:tr>
    </w:tbl>
    <w:p w14:paraId="4D550DCA" w14:textId="10582B49" w:rsidR="00D316AC" w:rsidRDefault="00D316AC" w:rsidP="006A14E6">
      <w:pPr>
        <w:rPr>
          <w:sz w:val="10"/>
          <w:szCs w:val="10"/>
        </w:rPr>
      </w:pPr>
    </w:p>
    <w:p w14:paraId="19CBDBAF" w14:textId="77777777" w:rsidR="001E4EAF" w:rsidRPr="001E4EAF" w:rsidRDefault="001E4EAF" w:rsidP="006A14E6">
      <w:pPr>
        <w:rPr>
          <w:rFonts w:cstheme="minorHAnsi"/>
          <w:b/>
          <w:sz w:val="10"/>
          <w:szCs w:val="10"/>
        </w:rPr>
      </w:pPr>
    </w:p>
    <w:p w14:paraId="074AE4E9" w14:textId="008FD016" w:rsidR="001E4EAF" w:rsidRPr="001E4EAF" w:rsidRDefault="001E4EAF" w:rsidP="006A14E6">
      <w:pPr>
        <w:rPr>
          <w:rFonts w:cstheme="minorHAnsi"/>
          <w:i/>
          <w:sz w:val="20"/>
          <w:szCs w:val="20"/>
        </w:rPr>
      </w:pPr>
      <w:r w:rsidRPr="001E4EAF">
        <w:rPr>
          <w:rFonts w:cstheme="minorHAnsi"/>
          <w:i/>
          <w:sz w:val="20"/>
          <w:szCs w:val="20"/>
        </w:rPr>
        <w:t xml:space="preserve">Please go to: </w:t>
      </w:r>
      <w:hyperlink r:id="rId6" w:history="1">
        <w:r w:rsidRPr="001E4EAF">
          <w:rPr>
            <w:rStyle w:val="Hyperlink"/>
            <w:rFonts w:cstheme="minorHAnsi"/>
            <w:i/>
            <w:sz w:val="20"/>
            <w:szCs w:val="20"/>
          </w:rPr>
          <w:t>https://www.surveymonkey.com/r/AB1114</w:t>
        </w:r>
      </w:hyperlink>
      <w:r w:rsidRPr="001E4EAF">
        <w:rPr>
          <w:rFonts w:cstheme="minorHAnsi"/>
          <w:i/>
          <w:sz w:val="20"/>
          <w:szCs w:val="20"/>
        </w:rPr>
        <w:t xml:space="preserve"> to tally your </w:t>
      </w:r>
      <w:r w:rsidR="009911BD">
        <w:rPr>
          <w:rFonts w:cstheme="minorHAnsi"/>
          <w:i/>
          <w:sz w:val="20"/>
          <w:szCs w:val="20"/>
        </w:rPr>
        <w:t xml:space="preserve">letter-writing </w:t>
      </w:r>
      <w:bookmarkStart w:id="0" w:name="_GoBack"/>
      <w:bookmarkEnd w:id="0"/>
      <w:r w:rsidRPr="001E4EAF">
        <w:rPr>
          <w:rFonts w:cstheme="minorHAnsi"/>
          <w:i/>
          <w:sz w:val="20"/>
          <w:szCs w:val="20"/>
        </w:rPr>
        <w:t xml:space="preserve">activity. We will communicate these numbers to DHCS. You may also sign up to help organize activities or just to be kept in the loop. If you help to distribute this info, please go to: </w:t>
      </w:r>
      <w:hyperlink r:id="rId7" w:history="1">
        <w:r w:rsidRPr="001E4EAF">
          <w:rPr>
            <w:rStyle w:val="Hyperlink"/>
            <w:rFonts w:cstheme="minorHAnsi"/>
            <w:i/>
            <w:sz w:val="20"/>
            <w:szCs w:val="20"/>
          </w:rPr>
          <w:t>https://www.surveymonkey.com/r/AB1114Champions</w:t>
        </w:r>
      </w:hyperlink>
      <w:r w:rsidRPr="001E4EAF">
        <w:rPr>
          <w:rFonts w:cstheme="minorHAnsi"/>
          <w:i/>
          <w:sz w:val="20"/>
          <w:szCs w:val="20"/>
        </w:rPr>
        <w:t xml:space="preserve"> to share your experiences.</w:t>
      </w:r>
    </w:p>
    <w:p w14:paraId="4E597250" w14:textId="045335FD" w:rsidR="00D316AC" w:rsidRPr="005A1591" w:rsidRDefault="008468F2" w:rsidP="006A14E6">
      <w:pPr>
        <w:rPr>
          <w:rFonts w:cstheme="minorHAnsi"/>
          <w:b/>
          <w:sz w:val="21"/>
          <w:szCs w:val="21"/>
        </w:rPr>
      </w:pPr>
      <w:r w:rsidRPr="005A1591">
        <w:rPr>
          <w:rFonts w:cstheme="minorHAnsi"/>
          <w:b/>
          <w:sz w:val="21"/>
          <w:szCs w:val="21"/>
        </w:rPr>
        <w:lastRenderedPageBreak/>
        <w:t xml:space="preserve">Table 2. </w:t>
      </w:r>
      <w:r w:rsidR="00D316AC" w:rsidRPr="005A1591">
        <w:rPr>
          <w:rFonts w:cstheme="minorHAnsi"/>
          <w:b/>
          <w:sz w:val="21"/>
          <w:szCs w:val="21"/>
        </w:rPr>
        <w:t>Requirements for Pharmacists Providing AB1114 Services</w:t>
      </w:r>
    </w:p>
    <w:p w14:paraId="16D9EE5B" w14:textId="4199DC6B" w:rsidR="005D2EC3" w:rsidRDefault="005D2EC3" w:rsidP="006A14E6">
      <w:pPr>
        <w:rPr>
          <w:sz w:val="10"/>
          <w:szCs w:val="10"/>
        </w:rPr>
      </w:pPr>
    </w:p>
    <w:tbl>
      <w:tblPr>
        <w:tblStyle w:val="TableGrid"/>
        <w:tblW w:w="9900" w:type="dxa"/>
        <w:tblInd w:w="-275" w:type="dxa"/>
        <w:tblLayout w:type="fixed"/>
        <w:tblLook w:val="04A0" w:firstRow="1" w:lastRow="0" w:firstColumn="1" w:lastColumn="0" w:noHBand="0" w:noVBand="1"/>
      </w:tblPr>
      <w:tblGrid>
        <w:gridCol w:w="1440"/>
        <w:gridCol w:w="8460"/>
      </w:tblGrid>
      <w:tr w:rsidR="005D2EC3" w14:paraId="6720241E" w14:textId="77777777" w:rsidTr="00F10F70">
        <w:tc>
          <w:tcPr>
            <w:tcW w:w="1440" w:type="dxa"/>
          </w:tcPr>
          <w:p w14:paraId="0281FC5F" w14:textId="5AF7F521" w:rsidR="005D2EC3" w:rsidRPr="00D24DAA" w:rsidRDefault="005D2EC3" w:rsidP="005D2EC3">
            <w:pPr>
              <w:rPr>
                <w:rFonts w:ascii="Avenir Next Condensed" w:hAnsi="Avenir Next Condensed"/>
                <w:sz w:val="15"/>
                <w:szCs w:val="15"/>
              </w:rPr>
            </w:pPr>
            <w:r w:rsidRPr="00D24DAA">
              <w:rPr>
                <w:rFonts w:ascii="Avenir Next Condensed" w:hAnsi="Avenir Next Condensed"/>
                <w:sz w:val="15"/>
                <w:szCs w:val="15"/>
              </w:rPr>
              <w:t>Furnishing Travel Medications pursuant to CCR 1746.5</w:t>
            </w:r>
          </w:p>
        </w:tc>
        <w:tc>
          <w:tcPr>
            <w:tcW w:w="8460" w:type="dxa"/>
          </w:tcPr>
          <w:p w14:paraId="4FBB7FBC" w14:textId="237F94CA" w:rsidR="005D2EC3" w:rsidRPr="00D24DAA" w:rsidRDefault="005D2EC3" w:rsidP="005D2EC3">
            <w:pPr>
              <w:rPr>
                <w:rFonts w:ascii="Avenir Next Condensed" w:hAnsi="Avenir Next Condensed"/>
                <w:sz w:val="15"/>
                <w:szCs w:val="15"/>
              </w:rPr>
            </w:pPr>
            <w:r w:rsidRPr="00D24DAA">
              <w:rPr>
                <w:rFonts w:ascii="Avenir Next Condensed" w:hAnsi="Avenir Next Condensed"/>
                <w:sz w:val="15"/>
                <w:szCs w:val="15"/>
              </w:rPr>
              <w:t xml:space="preserve">Prior to furnishing travel medications, a pharmacist shall perform a good faith evaluation of the patient, including evaluation of the patient’s travel history using destination-specific travel criteria. The travel history must include all the information necessary for a risk assessment during pre-travel consultation, as identified in the CDC Yellow Book. </w:t>
            </w:r>
          </w:p>
        </w:tc>
      </w:tr>
      <w:tr w:rsidR="005D2EC3" w14:paraId="67426021" w14:textId="77777777" w:rsidTr="00F10F70">
        <w:tc>
          <w:tcPr>
            <w:tcW w:w="1440" w:type="dxa"/>
          </w:tcPr>
          <w:p w14:paraId="5716750E" w14:textId="59676ECB" w:rsidR="005D2EC3" w:rsidRPr="00D24DAA" w:rsidRDefault="005D2EC3" w:rsidP="005D2EC3">
            <w:pPr>
              <w:rPr>
                <w:rFonts w:ascii="Avenir Next Condensed" w:hAnsi="Avenir Next Condensed"/>
                <w:sz w:val="15"/>
                <w:szCs w:val="15"/>
              </w:rPr>
            </w:pPr>
            <w:r w:rsidRPr="00D24DAA">
              <w:rPr>
                <w:rFonts w:ascii="Avenir Next Condensed" w:hAnsi="Avenir Next Condensed"/>
                <w:sz w:val="15"/>
                <w:szCs w:val="15"/>
              </w:rPr>
              <w:t>Furnishing Naloxone Hydrochloride pursuant to CCR 1746.3</w:t>
            </w:r>
          </w:p>
        </w:tc>
        <w:tc>
          <w:tcPr>
            <w:tcW w:w="8460" w:type="dxa"/>
          </w:tcPr>
          <w:p w14:paraId="139571FB" w14:textId="08DF38F1" w:rsidR="005D2EC3" w:rsidRPr="00D24DAA" w:rsidRDefault="005D2EC3" w:rsidP="005D2EC3">
            <w:pPr>
              <w:rPr>
                <w:rFonts w:ascii="Avenir Next Condensed" w:hAnsi="Avenir Next Condensed"/>
                <w:sz w:val="15"/>
                <w:szCs w:val="15"/>
              </w:rPr>
            </w:pPr>
            <w:r w:rsidRPr="00D24DAA">
              <w:rPr>
                <w:rFonts w:ascii="Avenir Next Condensed" w:hAnsi="Avenir Next Condensed"/>
                <w:sz w:val="15"/>
                <w:szCs w:val="15"/>
              </w:rPr>
              <w:t>Screen the potential recipient. Provide the recipient training in opioid overdose prevention, recognition, response, and administration of the antidote naloxone. The pharmacist shall provide the recipient with appropriate counseling and information on the product furnished, including dosing, effectiveness, adverse effects, storage conditions, shelf---life, and safety. The pharmacist shall provide the recipient with any informational resources on hand and/or referrals to appropriate resources if the recipient indicates interest in addiction treatment, recovery services, or medication disposal resources. The pharmacist shall answer any questions the recipient may have regarding naloxone hydrochloride. A pharmacist shall advise the recipient on how to choose the route of administration based on the formulation available, how well it can likely be administered, the setting, and local context. A pharmacist shall label the naloxone hydrochloride consistent with law and regulations. The pharmacist shall provide the recipient a copy of the current naloxone fact sheet approved by the Board of Pharmacy. Each naloxone hydrochloride product furnished by a pharmacist pursuant to this protocol shall be documented in a medication record for the naloxone recipient, and securely stored within the originating pharmacy or health care facility for a period of at least three years from the date of dispense.</w:t>
            </w:r>
          </w:p>
        </w:tc>
      </w:tr>
      <w:tr w:rsidR="005D2EC3" w14:paraId="3EC66EBE" w14:textId="77777777" w:rsidTr="00F10F70">
        <w:tc>
          <w:tcPr>
            <w:tcW w:w="1440" w:type="dxa"/>
          </w:tcPr>
          <w:p w14:paraId="16699A71" w14:textId="77777777" w:rsidR="00216FFC" w:rsidRPr="00D24DAA" w:rsidRDefault="00216FFC" w:rsidP="00216FFC">
            <w:pPr>
              <w:pStyle w:val="Default"/>
              <w:rPr>
                <w:rFonts w:ascii="Avenir Next Condensed" w:hAnsi="Avenir Next Condensed"/>
                <w:sz w:val="15"/>
                <w:szCs w:val="15"/>
              </w:rPr>
            </w:pPr>
            <w:r w:rsidRPr="00D24DAA">
              <w:rPr>
                <w:rFonts w:ascii="Avenir Next Condensed" w:hAnsi="Avenir Next Condensed"/>
                <w:sz w:val="15"/>
                <w:szCs w:val="15"/>
              </w:rPr>
              <w:t xml:space="preserve">Furnishing Self-administered Hormonal Contraception pursuant to 1746.1 </w:t>
            </w:r>
          </w:p>
          <w:p w14:paraId="786EC9CC" w14:textId="77777777" w:rsidR="005D2EC3" w:rsidRPr="00D24DAA" w:rsidRDefault="005D2EC3" w:rsidP="005D2EC3">
            <w:pPr>
              <w:rPr>
                <w:sz w:val="15"/>
                <w:szCs w:val="15"/>
              </w:rPr>
            </w:pPr>
          </w:p>
        </w:tc>
        <w:tc>
          <w:tcPr>
            <w:tcW w:w="8460" w:type="dxa"/>
          </w:tcPr>
          <w:p w14:paraId="5CE1C55E" w14:textId="77777777" w:rsidR="00216FFC" w:rsidRPr="00D24DAA" w:rsidRDefault="00216FFC" w:rsidP="00216FFC">
            <w:pPr>
              <w:pStyle w:val="Default"/>
              <w:rPr>
                <w:rFonts w:ascii="Avenir Next Condensed" w:hAnsi="Avenir Next Condensed"/>
                <w:sz w:val="15"/>
                <w:szCs w:val="15"/>
              </w:rPr>
            </w:pPr>
            <w:r w:rsidRPr="00D24DAA">
              <w:rPr>
                <w:rFonts w:ascii="Avenir Next Condensed" w:hAnsi="Avenir Next Condensed"/>
                <w:sz w:val="15"/>
                <w:szCs w:val="15"/>
              </w:rPr>
              <w:t xml:space="preserve">When a patient requests self-administered hormonal contraception, the pharmacist shall complete the following steps: </w:t>
            </w:r>
          </w:p>
          <w:p w14:paraId="5C5D9717" w14:textId="77777777" w:rsidR="00216FFC" w:rsidRPr="00D24DAA" w:rsidRDefault="00216FFC" w:rsidP="00216FFC">
            <w:pPr>
              <w:pStyle w:val="Default"/>
              <w:rPr>
                <w:rFonts w:ascii="Avenir Next Condensed" w:hAnsi="Avenir Next Condensed"/>
                <w:sz w:val="15"/>
                <w:szCs w:val="15"/>
              </w:rPr>
            </w:pPr>
            <w:r w:rsidRPr="00D24DAA">
              <w:rPr>
                <w:rFonts w:ascii="Avenir Next Condensed" w:hAnsi="Avenir Next Condensed"/>
                <w:sz w:val="15"/>
                <w:szCs w:val="15"/>
              </w:rPr>
              <w:t xml:space="preserve">(A) Ask the patient to use and complete the self-screening tool; </w:t>
            </w:r>
          </w:p>
          <w:p w14:paraId="0D7A356F" w14:textId="77777777" w:rsidR="00216FFC" w:rsidRPr="00D24DAA" w:rsidRDefault="00216FFC" w:rsidP="00216FFC">
            <w:pPr>
              <w:pStyle w:val="Default"/>
              <w:rPr>
                <w:rFonts w:ascii="Avenir Next Condensed" w:hAnsi="Avenir Next Condensed"/>
                <w:sz w:val="15"/>
                <w:szCs w:val="15"/>
              </w:rPr>
            </w:pPr>
            <w:r w:rsidRPr="00D24DAA">
              <w:rPr>
                <w:rFonts w:ascii="Avenir Next Condensed" w:hAnsi="Avenir Next Condensed"/>
                <w:sz w:val="15"/>
                <w:szCs w:val="15"/>
              </w:rPr>
              <w:t xml:space="preserve">(B) Review the self-screening answers and clarify responses if needed; </w:t>
            </w:r>
          </w:p>
          <w:p w14:paraId="2460A244" w14:textId="77777777" w:rsidR="00216FFC" w:rsidRPr="00D24DAA" w:rsidRDefault="00216FFC" w:rsidP="00216FFC">
            <w:pPr>
              <w:pStyle w:val="Default"/>
              <w:rPr>
                <w:rFonts w:ascii="Avenir Next Condensed" w:hAnsi="Avenir Next Condensed"/>
                <w:sz w:val="15"/>
                <w:szCs w:val="15"/>
              </w:rPr>
            </w:pPr>
            <w:r w:rsidRPr="00D24DAA">
              <w:rPr>
                <w:rFonts w:ascii="Avenir Next Condensed" w:hAnsi="Avenir Next Condensed"/>
                <w:sz w:val="15"/>
                <w:szCs w:val="15"/>
              </w:rPr>
              <w:t xml:space="preserve">(C) Measure and record the patient’s seated blood pressure if combined hormonal contraceptives are requested or recommended; </w:t>
            </w:r>
          </w:p>
          <w:p w14:paraId="2A3DD45C" w14:textId="77777777" w:rsidR="00216FFC" w:rsidRPr="00D24DAA" w:rsidRDefault="00216FFC" w:rsidP="00216FFC">
            <w:pPr>
              <w:pStyle w:val="Default"/>
              <w:rPr>
                <w:rFonts w:ascii="Avenir Next Condensed" w:hAnsi="Avenir Next Condensed"/>
                <w:sz w:val="15"/>
                <w:szCs w:val="15"/>
              </w:rPr>
            </w:pPr>
            <w:r w:rsidRPr="00D24DAA">
              <w:rPr>
                <w:rFonts w:ascii="Avenir Next Condensed" w:hAnsi="Avenir Next Condensed"/>
                <w:sz w:val="15"/>
                <w:szCs w:val="15"/>
              </w:rPr>
              <w:t xml:space="preserve">(D) Before furnishing self-administered hormonal contraception, the pharmacist shall ensure that the patient is appropriately trained. </w:t>
            </w:r>
          </w:p>
          <w:p w14:paraId="4D4081F5" w14:textId="655DD040" w:rsidR="005D2EC3" w:rsidRPr="00D24DAA" w:rsidRDefault="00216FFC" w:rsidP="00216FFC">
            <w:pPr>
              <w:pStyle w:val="Default"/>
              <w:rPr>
                <w:rFonts w:ascii="Avenir Next Condensed" w:hAnsi="Avenir Next Condensed"/>
                <w:sz w:val="15"/>
                <w:szCs w:val="15"/>
              </w:rPr>
            </w:pPr>
            <w:r w:rsidRPr="00D24DAA">
              <w:rPr>
                <w:rFonts w:ascii="Avenir Next Condensed" w:hAnsi="Avenir Next Condensed"/>
                <w:sz w:val="15"/>
                <w:szCs w:val="15"/>
              </w:rPr>
              <w:t>(E) When a self-administered hormonal contraceptive is furnished, the patient shall be provided with appropriate counseling and information on the product furnished, including: 1. Dosage; 2. Effectiveness; 3. Potential side effects; 4. Safety; 5. The importance of receiving recommended preventative health screenings; 6. That self-administered hormonal contraception does not protect against sexually transmitted infections (STIs). The pharmacist shall provide the patient with a self-screening tool containing the list of questions specified in this protocol. The pharmacist should provide the patient with a copy of a current, consumer-friendly, comprehensive birth control guide such as that created by the Food and Drug Administration (FDA). The pharmacist shall provide the patient with the FDA-required patient product information leaflet included in all self-administered hormonal contraception products, as required by Business and Professions Code Section 4052.3(c). The pharmacist should provide the patient with a copy of an administration-specific factsheet. The pharmacist shall notify the patient’s primary care provider of any drug(s) or device(s) furnished to the patient</w:t>
            </w:r>
            <w:r w:rsidR="00D316AC" w:rsidRPr="00D24DAA">
              <w:rPr>
                <w:rFonts w:ascii="Avenir Next Condensed" w:hAnsi="Avenir Next Condensed"/>
                <w:sz w:val="15"/>
                <w:szCs w:val="15"/>
              </w:rPr>
              <w:t xml:space="preserve"> </w:t>
            </w:r>
            <w:r w:rsidRPr="00D24DAA">
              <w:rPr>
                <w:rFonts w:ascii="Avenir Next Condensed" w:hAnsi="Avenir Next Condensed"/>
                <w:sz w:val="15"/>
                <w:szCs w:val="15"/>
              </w:rPr>
              <w:t>or enter the appropriate information in a patient record system shared with the primary care provider, as permitted by that primary care provider. The pharmacist, in consultation with the patient, may select any hormonal contraceptive listed in the current version of the USMEC for individuals identified as Category 1 or 2. Each self-administered hormonal contraceptive furnished by a pharmacist pursuant to this protocol shall be documented in a patient medication record and securely stored within the originating pharmacy or health care facility for a period of at least three years from the date of dispense.</w:t>
            </w:r>
            <w:r w:rsidRPr="00D24DAA">
              <w:rPr>
                <w:sz w:val="15"/>
                <w:szCs w:val="15"/>
              </w:rPr>
              <w:t xml:space="preserve"> </w:t>
            </w:r>
          </w:p>
        </w:tc>
      </w:tr>
      <w:tr w:rsidR="005D2EC3" w14:paraId="6679E340" w14:textId="77777777" w:rsidTr="00F10F70">
        <w:tc>
          <w:tcPr>
            <w:tcW w:w="1440" w:type="dxa"/>
          </w:tcPr>
          <w:p w14:paraId="0A4DF83C"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Initiating &amp; Administering Immunizations pursuant to CCR 1746.4 </w:t>
            </w:r>
          </w:p>
          <w:p w14:paraId="5D934796" w14:textId="77777777" w:rsidR="005D2EC3" w:rsidRPr="00D24DAA" w:rsidRDefault="005D2EC3" w:rsidP="005D2EC3">
            <w:pPr>
              <w:rPr>
                <w:rFonts w:ascii="Avenir Next Condensed" w:hAnsi="Avenir Next Condensed"/>
                <w:sz w:val="15"/>
                <w:szCs w:val="15"/>
              </w:rPr>
            </w:pPr>
          </w:p>
        </w:tc>
        <w:tc>
          <w:tcPr>
            <w:tcW w:w="8460" w:type="dxa"/>
          </w:tcPr>
          <w:p w14:paraId="762E3A27" w14:textId="5B0B1817" w:rsidR="005D2EC3"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A pharmacist shall notify each patient's primary care provider of any vaccine administered to the patient or enter the appropriate information in a patient record system shared with the primary care provider, as permitted by the primary care provider. A pharmacist shall report, in accordance with section 4052.8, subdivision (b)(3), of the Business and Professions Code, the information described in section 120440, subdivision (c), of the Health and Safety Code within 14 days of the administration of any vaccine. A pharmacist shall inform each patient or the patient's guardian of immunization record sharing preferences, detailed in section 120440, subdivision (e), of the Health and Safety Code. For each vaccine administered by a pharmacist, a patient vaccine administration record shall be maintained in an automated data processing or manual record mod e such that the information required under section 300aa-25 of Title 42 of the United States Code is readily retrievable during the pharmacy or facility's normal operating hours. A pharmacist shall provide each patient with a Board of Pharmacy Order of Adoption 16 CCR§ 1746.4 vaccine administration record, which fully documents the vaccines administered by the pharmacist. </w:t>
            </w:r>
          </w:p>
        </w:tc>
      </w:tr>
      <w:tr w:rsidR="005D2EC3" w14:paraId="7CA44457" w14:textId="77777777" w:rsidTr="00F10F70">
        <w:tc>
          <w:tcPr>
            <w:tcW w:w="1440" w:type="dxa"/>
          </w:tcPr>
          <w:p w14:paraId="068C5C22"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Providing Tobacco Cessation Counseling and Furnishing Nicotine Replacement Therapy pursuant to CCR 1746.2 </w:t>
            </w:r>
          </w:p>
          <w:p w14:paraId="6D0FFC78" w14:textId="77777777" w:rsidR="005D2EC3" w:rsidRPr="00D24DAA" w:rsidRDefault="005D2EC3" w:rsidP="005D2EC3">
            <w:pPr>
              <w:rPr>
                <w:rFonts w:ascii="Avenir Next Condensed" w:hAnsi="Avenir Next Condensed"/>
                <w:sz w:val="15"/>
                <w:szCs w:val="15"/>
              </w:rPr>
            </w:pPr>
          </w:p>
        </w:tc>
        <w:tc>
          <w:tcPr>
            <w:tcW w:w="8460" w:type="dxa"/>
          </w:tcPr>
          <w:p w14:paraId="6BC24D81"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When a patient requests nicotine replacement therapy or other smoking cessation medication, or when a pharmacist in his or her professional judgment decides to initiate smoking cessation treatment and counseling, the pharmacist shall complete the </w:t>
            </w:r>
          </w:p>
          <w:p w14:paraId="18243B69"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following steps: </w:t>
            </w:r>
          </w:p>
          <w:p w14:paraId="4107F433"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Review the patient’s current tobacco use and past quit attempts. </w:t>
            </w:r>
          </w:p>
          <w:p w14:paraId="6930262F"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Ask the patient the following screening questions: </w:t>
            </w:r>
          </w:p>
          <w:p w14:paraId="7735DB39"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w:t>
            </w:r>
            <w:proofErr w:type="spellStart"/>
            <w:r w:rsidRPr="00D24DAA">
              <w:rPr>
                <w:rFonts w:ascii="Avenir Next Condensed" w:hAnsi="Avenir Next Condensed"/>
                <w:sz w:val="15"/>
                <w:szCs w:val="15"/>
              </w:rPr>
              <w:t>i</w:t>
            </w:r>
            <w:proofErr w:type="spellEnd"/>
            <w:r w:rsidRPr="00D24DAA">
              <w:rPr>
                <w:rFonts w:ascii="Avenir Next Condensed" w:hAnsi="Avenir Next Condensed"/>
                <w:sz w:val="15"/>
                <w:szCs w:val="15"/>
              </w:rPr>
              <w:t xml:space="preserve">) Are you pregnant or plan to become pregnant? (If yes, do not furnish and refer to an appropriate health care provider). </w:t>
            </w:r>
          </w:p>
          <w:p w14:paraId="6828071A"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(ii) Have you had a heart attack within the last 2 weeks? (If yes, furnish with caution and refer to an appropriate health care provider). </w:t>
            </w:r>
          </w:p>
          <w:p w14:paraId="62A551C6"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(iii) Do you have any history of heart palpitations, irregular heartbeats, or have you been diagnosed with a serious arrhythmia? (If yes, furnish with caution and refer to an appropriate health care provider). </w:t>
            </w:r>
          </w:p>
          <w:p w14:paraId="7B3F1741"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(iv) Do you currently experience frequent chest </w:t>
            </w:r>
            <w:proofErr w:type="gramStart"/>
            <w:r w:rsidRPr="00D24DAA">
              <w:rPr>
                <w:rFonts w:ascii="Avenir Next Condensed" w:hAnsi="Avenir Next Condensed"/>
                <w:sz w:val="15"/>
                <w:szCs w:val="15"/>
              </w:rPr>
              <w:t>pain</w:t>
            </w:r>
            <w:proofErr w:type="gramEnd"/>
            <w:r w:rsidRPr="00D24DAA">
              <w:rPr>
                <w:rFonts w:ascii="Avenir Next Condensed" w:hAnsi="Avenir Next Condensed"/>
                <w:sz w:val="15"/>
                <w:szCs w:val="15"/>
              </w:rPr>
              <w:t xml:space="preserve"> or have you been diagnosed with unstable angina? (If yes, furnish with caution and refer to an appropriate health care provider). </w:t>
            </w:r>
          </w:p>
          <w:p w14:paraId="3E6C2242"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(v) Do you have any history of allergic rhinitis (e.g., nasal allergies)? (If yes, avoid nasal spray). </w:t>
            </w:r>
          </w:p>
          <w:p w14:paraId="556B0B60" w14:textId="77777777" w:rsidR="00D316AC" w:rsidRPr="00D24DAA" w:rsidRDefault="00D316AC" w:rsidP="00D316AC">
            <w:pPr>
              <w:pStyle w:val="Default"/>
              <w:rPr>
                <w:rFonts w:ascii="Avenir Next Condensed" w:hAnsi="Avenir Next Condensed"/>
                <w:sz w:val="15"/>
                <w:szCs w:val="15"/>
              </w:rPr>
            </w:pPr>
            <w:r w:rsidRPr="00D24DAA">
              <w:rPr>
                <w:rFonts w:ascii="Avenir Next Condensed" w:hAnsi="Avenir Next Condensed"/>
                <w:sz w:val="15"/>
                <w:szCs w:val="15"/>
              </w:rPr>
              <w:t xml:space="preserve">(vi) Have you been diagnosed with temporal mandibular joint (TMJ) dysfunction? (If yes, avoid nicotine gum). </w:t>
            </w:r>
          </w:p>
          <w:p w14:paraId="195568DA" w14:textId="4E616474" w:rsidR="005D2EC3" w:rsidRPr="00D24DAA" w:rsidRDefault="00D316AC" w:rsidP="00A45323">
            <w:pPr>
              <w:rPr>
                <w:rFonts w:ascii="Avenir Next Condensed" w:hAnsi="Avenir Next Condensed"/>
                <w:sz w:val="15"/>
                <w:szCs w:val="15"/>
              </w:rPr>
            </w:pPr>
            <w:r w:rsidRPr="00D24DAA">
              <w:rPr>
                <w:rFonts w:ascii="Avenir Next Condensed" w:hAnsi="Avenir Next Condensed"/>
                <w:sz w:val="15"/>
                <w:szCs w:val="15"/>
              </w:rPr>
              <w:t xml:space="preserve">The pharmacist shall review the instructions for use with every patient using a nicotine replacement product. Pharmacists should recommend the patient seek additional assistance for behavior change. The pharmacist shall answer any questions the patient may have regarding smoking cessation therapy and/or nicotine replacement products. The pharmacist, in consultation with the patient, may select any nicotine replacement product (alone or in combination) from the list of therapies specified in this protocol in the Table “Nicotine Replacement Therapy Medications for Smoking Cessation.” The pharmacist shall notify the patient’s primary care provider of any prescription drug(s) and/or device(s) furnished to the patient or enter the appropriate information in a patient record system shared with the primary care provider, as permitted by that primary care provider. Each nicotine replacement product provided for smoking cessation and furnished by a pharmacist pursuant to this protocol shall be documented in a patient medication record and securely stored within the originating pharmacy or health care facility for a period of at least three years from the date of dispense. A patient medication record shall be maintained in an automated data processing or manual record mode such that the required information under title 16, sections 1717 and 1707.1 of the California Code of Regulations is readily retrievable during the pharmacy or facility’s normal operating hours. </w:t>
            </w:r>
          </w:p>
        </w:tc>
      </w:tr>
    </w:tbl>
    <w:p w14:paraId="1399E7A4" w14:textId="77777777" w:rsidR="005D2EC3" w:rsidRPr="00F10F70" w:rsidRDefault="005D2EC3" w:rsidP="006A14E6">
      <w:pPr>
        <w:rPr>
          <w:rFonts w:ascii="Avenir Next Condensed" w:hAnsi="Avenir Next Condensed"/>
          <w:sz w:val="15"/>
          <w:szCs w:val="15"/>
        </w:rPr>
      </w:pPr>
    </w:p>
    <w:sectPr w:rsidR="005D2EC3" w:rsidRPr="00F10F70" w:rsidSect="00E7310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87C8" w14:textId="77777777" w:rsidR="00865F47" w:rsidRDefault="00865F47" w:rsidP="005A1591">
      <w:r>
        <w:separator/>
      </w:r>
    </w:p>
  </w:endnote>
  <w:endnote w:type="continuationSeparator" w:id="0">
    <w:p w14:paraId="1FDF6217" w14:textId="77777777" w:rsidR="00865F47" w:rsidRDefault="00865F47" w:rsidP="005A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0869B" w14:textId="77777777" w:rsidR="00865F47" w:rsidRDefault="00865F47" w:rsidP="005A1591">
      <w:r>
        <w:separator/>
      </w:r>
    </w:p>
  </w:footnote>
  <w:footnote w:type="continuationSeparator" w:id="0">
    <w:p w14:paraId="5519EC18" w14:textId="77777777" w:rsidR="00865F47" w:rsidRDefault="00865F47" w:rsidP="005A1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DF"/>
    <w:rsid w:val="00090E62"/>
    <w:rsid w:val="000E10E9"/>
    <w:rsid w:val="001210DF"/>
    <w:rsid w:val="001B30BC"/>
    <w:rsid w:val="001E4EAF"/>
    <w:rsid w:val="00216FFC"/>
    <w:rsid w:val="002F07D7"/>
    <w:rsid w:val="00391BF2"/>
    <w:rsid w:val="003C5EAF"/>
    <w:rsid w:val="004615C3"/>
    <w:rsid w:val="005A1591"/>
    <w:rsid w:val="005D2EC3"/>
    <w:rsid w:val="00607E34"/>
    <w:rsid w:val="0068460D"/>
    <w:rsid w:val="006A14E6"/>
    <w:rsid w:val="006C6505"/>
    <w:rsid w:val="006C7A5C"/>
    <w:rsid w:val="006D74CF"/>
    <w:rsid w:val="00782D1D"/>
    <w:rsid w:val="008468F2"/>
    <w:rsid w:val="00865F47"/>
    <w:rsid w:val="0088490A"/>
    <w:rsid w:val="009911BD"/>
    <w:rsid w:val="00A45323"/>
    <w:rsid w:val="00A523E1"/>
    <w:rsid w:val="00A53AC7"/>
    <w:rsid w:val="00AC00D3"/>
    <w:rsid w:val="00BA6EF4"/>
    <w:rsid w:val="00BB1527"/>
    <w:rsid w:val="00C13BC1"/>
    <w:rsid w:val="00C4140A"/>
    <w:rsid w:val="00C5036A"/>
    <w:rsid w:val="00CC0A88"/>
    <w:rsid w:val="00CE571E"/>
    <w:rsid w:val="00D24DAA"/>
    <w:rsid w:val="00D2587E"/>
    <w:rsid w:val="00D316AC"/>
    <w:rsid w:val="00E1374F"/>
    <w:rsid w:val="00E32BDD"/>
    <w:rsid w:val="00E73105"/>
    <w:rsid w:val="00F1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A7B45"/>
  <w15:chartTrackingRefBased/>
  <w15:docId w15:val="{0556196D-7146-784B-A2A0-4B059143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650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C6505"/>
  </w:style>
  <w:style w:type="paragraph" w:customStyle="1" w:styleId="Default">
    <w:name w:val="Default"/>
    <w:rsid w:val="005D2EC3"/>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5A1591"/>
    <w:pPr>
      <w:tabs>
        <w:tab w:val="center" w:pos="4680"/>
        <w:tab w:val="right" w:pos="9360"/>
      </w:tabs>
    </w:pPr>
  </w:style>
  <w:style w:type="character" w:customStyle="1" w:styleId="HeaderChar">
    <w:name w:val="Header Char"/>
    <w:basedOn w:val="DefaultParagraphFont"/>
    <w:link w:val="Header"/>
    <w:uiPriority w:val="99"/>
    <w:rsid w:val="005A1591"/>
  </w:style>
  <w:style w:type="paragraph" w:styleId="Footer">
    <w:name w:val="footer"/>
    <w:basedOn w:val="Normal"/>
    <w:link w:val="FooterChar"/>
    <w:uiPriority w:val="99"/>
    <w:unhideWhenUsed/>
    <w:rsid w:val="005A1591"/>
    <w:pPr>
      <w:tabs>
        <w:tab w:val="center" w:pos="4680"/>
        <w:tab w:val="right" w:pos="9360"/>
      </w:tabs>
    </w:pPr>
  </w:style>
  <w:style w:type="character" w:customStyle="1" w:styleId="FooterChar">
    <w:name w:val="Footer Char"/>
    <w:basedOn w:val="DefaultParagraphFont"/>
    <w:link w:val="Footer"/>
    <w:uiPriority w:val="99"/>
    <w:rsid w:val="005A1591"/>
  </w:style>
  <w:style w:type="character" w:styleId="Hyperlink">
    <w:name w:val="Hyperlink"/>
    <w:basedOn w:val="DefaultParagraphFont"/>
    <w:uiPriority w:val="99"/>
    <w:unhideWhenUsed/>
    <w:rsid w:val="001E4EAF"/>
    <w:rPr>
      <w:color w:val="0563C1" w:themeColor="hyperlink"/>
      <w:u w:val="single"/>
    </w:rPr>
  </w:style>
  <w:style w:type="character" w:styleId="UnresolvedMention">
    <w:name w:val="Unresolved Mention"/>
    <w:basedOn w:val="DefaultParagraphFont"/>
    <w:uiPriority w:val="99"/>
    <w:rsid w:val="001E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961">
      <w:bodyDiv w:val="1"/>
      <w:marLeft w:val="0"/>
      <w:marRight w:val="0"/>
      <w:marTop w:val="0"/>
      <w:marBottom w:val="0"/>
      <w:divBdr>
        <w:top w:val="none" w:sz="0" w:space="0" w:color="auto"/>
        <w:left w:val="none" w:sz="0" w:space="0" w:color="auto"/>
        <w:bottom w:val="none" w:sz="0" w:space="0" w:color="auto"/>
        <w:right w:val="none" w:sz="0" w:space="0" w:color="auto"/>
      </w:divBdr>
    </w:div>
    <w:div w:id="90204398">
      <w:bodyDiv w:val="1"/>
      <w:marLeft w:val="0"/>
      <w:marRight w:val="0"/>
      <w:marTop w:val="0"/>
      <w:marBottom w:val="0"/>
      <w:divBdr>
        <w:top w:val="none" w:sz="0" w:space="0" w:color="auto"/>
        <w:left w:val="none" w:sz="0" w:space="0" w:color="auto"/>
        <w:bottom w:val="none" w:sz="0" w:space="0" w:color="auto"/>
        <w:right w:val="none" w:sz="0" w:space="0" w:color="auto"/>
      </w:divBdr>
    </w:div>
    <w:div w:id="567769442">
      <w:bodyDiv w:val="1"/>
      <w:marLeft w:val="0"/>
      <w:marRight w:val="0"/>
      <w:marTop w:val="0"/>
      <w:marBottom w:val="0"/>
      <w:divBdr>
        <w:top w:val="none" w:sz="0" w:space="0" w:color="auto"/>
        <w:left w:val="none" w:sz="0" w:space="0" w:color="auto"/>
        <w:bottom w:val="none" w:sz="0" w:space="0" w:color="auto"/>
        <w:right w:val="none" w:sz="0" w:space="0" w:color="auto"/>
      </w:divBdr>
    </w:div>
    <w:div w:id="696274563">
      <w:bodyDiv w:val="1"/>
      <w:marLeft w:val="0"/>
      <w:marRight w:val="0"/>
      <w:marTop w:val="0"/>
      <w:marBottom w:val="0"/>
      <w:divBdr>
        <w:top w:val="none" w:sz="0" w:space="0" w:color="auto"/>
        <w:left w:val="none" w:sz="0" w:space="0" w:color="auto"/>
        <w:bottom w:val="none" w:sz="0" w:space="0" w:color="auto"/>
        <w:right w:val="none" w:sz="0" w:space="0" w:color="auto"/>
      </w:divBdr>
    </w:div>
    <w:div w:id="20296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rveymonkey.com/r/AB1114Champ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AB11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Denetclaw</dc:creator>
  <cp:keywords/>
  <dc:description/>
  <cp:lastModifiedBy>Wilfred Denetclaw</cp:lastModifiedBy>
  <cp:revision>9</cp:revision>
  <cp:lastPrinted>2019-02-14T06:37:00Z</cp:lastPrinted>
  <dcterms:created xsi:type="dcterms:W3CDTF">2019-03-13T07:56:00Z</dcterms:created>
  <dcterms:modified xsi:type="dcterms:W3CDTF">2019-04-19T09:28:00Z</dcterms:modified>
</cp:coreProperties>
</file>